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7D19" w:rsidP="00AA5931" w:rsidRDefault="00287D19" w14:paraId="2F91FECC" w14:textId="2DFABF48">
      <w:r>
        <w:rPr>
          <w:noProof/>
        </w:rPr>
        <w:drawing>
          <wp:anchor distT="0" distB="0" distL="114300" distR="114300" simplePos="0" relativeHeight="251658240" behindDoc="1" locked="0" layoutInCell="1" allowOverlap="1" wp14:editId="67B0DDF9" wp14:anchorId="078906B3">
            <wp:simplePos x="0" y="0"/>
            <wp:positionH relativeFrom="column">
              <wp:posOffset>0</wp:posOffset>
            </wp:positionH>
            <wp:positionV relativeFrom="paragraph">
              <wp:posOffset>0</wp:posOffset>
            </wp:positionV>
            <wp:extent cx="7558768" cy="10691999"/>
            <wp:effectExtent l="0" t="0" r="4445" b="0"/>
            <wp:wrapNone/>
            <wp:docPr id="593758623" name="Picture 1" descr="Affordable Housing Delivery Pla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758623" name="Picture 1" descr="Affordable Housing Delivery Plan">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margin">
              <wp14:pctWidth>0</wp14:pctWidth>
            </wp14:sizeRelH>
            <wp14:sizeRelV relativeFrom="margin">
              <wp14:pctHeight>0</wp14:pctHeight>
            </wp14:sizeRelV>
          </wp:anchor>
        </w:drawing>
      </w:r>
    </w:p>
    <w:p w:rsidR="00287D19" w:rsidP="00AA5931" w:rsidRDefault="00287D19" w14:paraId="0B31404E" w14:textId="77777777"/>
    <w:p w:rsidR="00287D19" w:rsidP="00AA5931" w:rsidRDefault="00287D19" w14:paraId="7771768F" w14:textId="77777777"/>
    <w:p w:rsidR="00287D19" w:rsidP="00AA5931" w:rsidRDefault="00287D19" w14:paraId="28A94B17" w14:textId="77777777"/>
    <w:p w:rsidR="00287D19" w:rsidP="00AA5931" w:rsidRDefault="00287D19" w14:paraId="36821225" w14:textId="77777777"/>
    <w:p w:rsidR="00287D19" w:rsidP="00AA5931" w:rsidRDefault="00287D19" w14:paraId="693D9339" w14:textId="77777777"/>
    <w:p w:rsidR="00287D19" w:rsidP="00AA5931" w:rsidRDefault="00287D19" w14:paraId="653F2D44" w14:textId="77777777"/>
    <w:p w:rsidR="00287D19" w:rsidP="00AA5931" w:rsidRDefault="00287D19" w14:paraId="18B4E4C9" w14:textId="7ABE6DC2"/>
    <w:p w:rsidR="00287D19" w:rsidP="00AA5931" w:rsidRDefault="00287D19" w14:paraId="64155DB8" w14:textId="063FE152"/>
    <w:p w:rsidR="00287D19" w:rsidP="00AA5931" w:rsidRDefault="00287D19" w14:paraId="39CE23E6" w14:textId="08986371"/>
    <w:p w:rsidR="00287D19" w:rsidP="00287D19" w:rsidRDefault="00287D19" w14:paraId="33524099" w14:textId="64E2AE17">
      <w:pPr>
        <w:ind w:firstLine="720"/>
        <w:rPr>
          <w:rFonts w:ascii="Arial Black" w:hAnsi="Arial Black"/>
          <w:color w:val="FFFFFF" w:themeColor="background1"/>
          <w:sz w:val="64"/>
          <w:szCs w:val="64"/>
        </w:rPr>
      </w:pPr>
    </w:p>
    <w:p w:rsidR="00287D19" w:rsidP="00287D19" w:rsidRDefault="00287D19" w14:paraId="0B666CD1" w14:textId="17ECA992">
      <w:pPr>
        <w:ind w:firstLine="720"/>
        <w:rPr>
          <w:rFonts w:ascii="Arial Black" w:hAnsi="Arial Black"/>
          <w:color w:val="FFFFFF" w:themeColor="background1"/>
          <w:sz w:val="64"/>
          <w:szCs w:val="64"/>
        </w:rPr>
      </w:pPr>
    </w:p>
    <w:p w:rsidRPr="00DF4F6B" w:rsidR="00287D19" w:rsidP="00DF4F6B" w:rsidRDefault="00AA5931" w14:paraId="1AD68AC1" w14:textId="7DF078D8">
      <w:pPr>
        <w:ind w:firstLine="720"/>
        <w:rPr>
          <w:rFonts w:ascii="Arial Black" w:hAnsi="Arial Black" w:eastAsiaTheme="majorEastAsia" w:cstheme="majorBidi"/>
          <w:color w:val="2E74B5" w:themeColor="accent1" w:themeShade="BF"/>
          <w:sz w:val="64"/>
          <w:szCs w:val="64"/>
        </w:rPr>
        <w:sectPr w:rsidRPr="00DF4F6B" w:rsidR="00287D19" w:rsidSect="00287D19">
          <w:footerReference w:type="default" r:id="rId9"/>
          <w:pgSz w:w="11906" w:h="16838"/>
          <w:pgMar w:top="0" w:right="0" w:bottom="0" w:left="0" w:header="709" w:footer="709" w:gutter="0"/>
          <w:cols w:space="708"/>
          <w:docGrid w:linePitch="360"/>
        </w:sectPr>
      </w:pPr>
      <w:r w:rsidRPr="00287D19">
        <w:rPr>
          <w:rFonts w:ascii="Arial Black" w:hAnsi="Arial Black"/>
          <w:sz w:val="64"/>
          <w:szCs w:val="64"/>
        </w:rPr>
        <w:br w:type="page"/>
      </w:r>
    </w:p>
    <w:p w:rsidR="00BF6983" w:rsidP="00BF6983" w:rsidRDefault="00BF6983" w14:paraId="4BC3BBBA" w14:textId="77777777">
      <w:pPr>
        <w:rPr>
          <w:rFonts w:ascii="Arial" w:hAnsi="Arial" w:cs="Arial" w:eastAsiaTheme="majorEastAsia"/>
          <w:color w:val="2E74B5" w:themeColor="accent1" w:themeShade="BF"/>
          <w:sz w:val="32"/>
          <w:szCs w:val="32"/>
          <w:lang w:val="en-US"/>
        </w:rPr>
      </w:pPr>
      <w:bookmarkStart w:name="_Hlk215147929" w:id="0"/>
    </w:p>
    <w:sdt>
      <w:sdtPr>
        <w:rPr>
          <w:rFonts w:ascii="Arial" w:hAnsi="Arial" w:eastAsiaTheme="minorEastAsia" w:cstheme="minorBidi"/>
          <w:color w:val="000000" w:themeColor="text1"/>
          <w:sz w:val="22"/>
          <w:szCs w:val="22"/>
          <w:lang w:val="en-GB"/>
        </w:rPr>
        <w:id w:val="-61108895"/>
        <w:docPartObj>
          <w:docPartGallery w:val="Table of Contents"/>
          <w:docPartUnique/>
        </w:docPartObj>
      </w:sdtPr>
      <w:sdtEndPr>
        <w:rPr>
          <w:b/>
          <w:bCs/>
          <w:noProof/>
        </w:rPr>
      </w:sdtEndPr>
      <w:sdtContent>
        <w:p w:rsidRPr="00BF6983" w:rsidR="00BF6983" w:rsidP="00BF6983" w:rsidRDefault="00BF6983" w14:paraId="2F05B8D2" w14:textId="77777777">
          <w:pPr>
            <w:pStyle w:val="TOCHeading"/>
            <w:rPr>
              <w:rFonts w:ascii="Arial Black" w:hAnsi="Arial Black"/>
              <w:color w:val="1BAF90"/>
            </w:rPr>
          </w:pPr>
          <w:r w:rsidRPr="00BF6983">
            <w:rPr>
              <w:rFonts w:ascii="Arial Black" w:hAnsi="Arial Black"/>
              <w:color w:val="1BAF90"/>
            </w:rPr>
            <w:t>Co</w:t>
          </w:r>
          <w:r w:rsidRPr="00AD5A69">
            <w:rPr>
              <w:rFonts w:ascii="Arial Black" w:hAnsi="Arial Black"/>
              <w:color w:val="1BAF90"/>
            </w:rPr>
            <w:t>nten</w:t>
          </w:r>
          <w:r w:rsidRPr="00BF6983">
            <w:rPr>
              <w:rFonts w:ascii="Arial Black" w:hAnsi="Arial Black"/>
              <w:color w:val="1BAF90"/>
            </w:rPr>
            <w:t>ts</w:t>
          </w:r>
        </w:p>
        <w:p w:rsidRPr="00BF6983" w:rsidR="00BF6983" w:rsidP="00BF6983" w:rsidRDefault="00BF6983" w14:paraId="0990197F" w14:textId="77777777">
          <w:pPr>
            <w:rPr>
              <w:color w:val="000000" w:themeColor="text1"/>
              <w:lang w:val="en-US"/>
            </w:rPr>
          </w:pPr>
        </w:p>
        <w:p w:rsidR="001641CE" w:rsidRDefault="00BF6983" w14:paraId="65F0FC93" w14:textId="5BF6081C">
          <w:pPr>
            <w:pStyle w:val="TOC1"/>
            <w:rPr>
              <w:rFonts w:asciiTheme="minorHAnsi" w:hAnsiTheme="minorHAnsi" w:eastAsiaTheme="minorEastAsia"/>
              <w:noProof/>
              <w:color w:val="auto"/>
              <w:kern w:val="2"/>
              <w:sz w:val="24"/>
              <w:szCs w:val="24"/>
              <w:lang w:eastAsia="en-GB"/>
              <w14:ligatures w14:val="standardContextual"/>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history="1" w:anchor="_Toc215583529">
            <w:r w:rsidRPr="002148AE" w:rsidR="001641CE">
              <w:rPr>
                <w:rStyle w:val="Hyperlink"/>
                <w:noProof/>
              </w:rPr>
              <w:t>1</w:t>
            </w:r>
            <w:r w:rsidR="001641CE">
              <w:rPr>
                <w:rFonts w:asciiTheme="minorHAnsi" w:hAnsiTheme="minorHAnsi" w:eastAsiaTheme="minorEastAsia"/>
                <w:noProof/>
                <w:color w:val="auto"/>
                <w:kern w:val="2"/>
                <w:sz w:val="24"/>
                <w:szCs w:val="24"/>
                <w:lang w:eastAsia="en-GB"/>
                <w14:ligatures w14:val="standardContextual"/>
              </w:rPr>
              <w:tab/>
            </w:r>
            <w:r w:rsidRPr="002148AE" w:rsidR="001641CE">
              <w:rPr>
                <w:rStyle w:val="Hyperlink"/>
                <w:noProof/>
              </w:rPr>
              <w:t>Introduction</w:t>
            </w:r>
            <w:r w:rsidR="001641CE">
              <w:rPr>
                <w:noProof/>
                <w:webHidden/>
              </w:rPr>
              <w:tab/>
            </w:r>
            <w:r w:rsidR="001641CE">
              <w:rPr>
                <w:noProof/>
                <w:webHidden/>
              </w:rPr>
              <w:fldChar w:fldCharType="begin"/>
            </w:r>
            <w:r w:rsidR="001641CE">
              <w:rPr>
                <w:noProof/>
                <w:webHidden/>
              </w:rPr>
              <w:instrText xml:space="preserve"> PAGEREF _Toc215583529 \h </w:instrText>
            </w:r>
            <w:r w:rsidR="001641CE">
              <w:rPr>
                <w:noProof/>
                <w:webHidden/>
              </w:rPr>
            </w:r>
            <w:r w:rsidR="001641CE">
              <w:rPr>
                <w:noProof/>
                <w:webHidden/>
              </w:rPr>
              <w:fldChar w:fldCharType="separate"/>
            </w:r>
            <w:r w:rsidR="001641CE">
              <w:rPr>
                <w:noProof/>
                <w:webHidden/>
              </w:rPr>
              <w:t>1</w:t>
            </w:r>
            <w:r w:rsidR="001641CE">
              <w:rPr>
                <w:noProof/>
                <w:webHidden/>
              </w:rPr>
              <w:fldChar w:fldCharType="end"/>
            </w:r>
          </w:hyperlink>
        </w:p>
        <w:p w:rsidR="001641CE" w:rsidRDefault="001641CE" w14:paraId="69166E10" w14:textId="49E9B3F1">
          <w:pPr>
            <w:pStyle w:val="TOC1"/>
            <w:rPr>
              <w:rFonts w:asciiTheme="minorHAnsi" w:hAnsiTheme="minorHAnsi" w:eastAsiaTheme="minorEastAsia"/>
              <w:noProof/>
              <w:color w:val="auto"/>
              <w:kern w:val="2"/>
              <w:sz w:val="24"/>
              <w:szCs w:val="24"/>
              <w:lang w:eastAsia="en-GB"/>
              <w14:ligatures w14:val="standardContextual"/>
            </w:rPr>
          </w:pPr>
          <w:hyperlink w:history="1" w:anchor="_Toc215583530">
            <w:r w:rsidRPr="002148AE">
              <w:rPr>
                <w:rStyle w:val="Hyperlink"/>
                <w:noProof/>
              </w:rPr>
              <w:t>2</w:t>
            </w:r>
            <w:r>
              <w:rPr>
                <w:rFonts w:asciiTheme="minorHAnsi" w:hAnsiTheme="minorHAnsi" w:eastAsiaTheme="minorEastAsia"/>
                <w:noProof/>
                <w:color w:val="auto"/>
                <w:kern w:val="2"/>
                <w:sz w:val="24"/>
                <w:szCs w:val="24"/>
                <w:lang w:eastAsia="en-GB"/>
                <w14:ligatures w14:val="standardContextual"/>
              </w:rPr>
              <w:tab/>
            </w:r>
            <w:r w:rsidRPr="002148AE">
              <w:rPr>
                <w:rStyle w:val="Hyperlink"/>
                <w:noProof/>
              </w:rPr>
              <w:t>Core Objectives by Focus Area</w:t>
            </w:r>
            <w:r>
              <w:rPr>
                <w:noProof/>
                <w:webHidden/>
              </w:rPr>
              <w:tab/>
            </w:r>
            <w:r>
              <w:rPr>
                <w:noProof/>
                <w:webHidden/>
              </w:rPr>
              <w:fldChar w:fldCharType="begin"/>
            </w:r>
            <w:r>
              <w:rPr>
                <w:noProof/>
                <w:webHidden/>
              </w:rPr>
              <w:instrText xml:space="preserve"> PAGEREF _Toc215583530 \h </w:instrText>
            </w:r>
            <w:r>
              <w:rPr>
                <w:noProof/>
                <w:webHidden/>
              </w:rPr>
            </w:r>
            <w:r>
              <w:rPr>
                <w:noProof/>
                <w:webHidden/>
              </w:rPr>
              <w:fldChar w:fldCharType="separate"/>
            </w:r>
            <w:r>
              <w:rPr>
                <w:noProof/>
                <w:webHidden/>
              </w:rPr>
              <w:t>1</w:t>
            </w:r>
            <w:r>
              <w:rPr>
                <w:noProof/>
                <w:webHidden/>
              </w:rPr>
              <w:fldChar w:fldCharType="end"/>
            </w:r>
          </w:hyperlink>
        </w:p>
        <w:p w:rsidR="001641CE" w:rsidRDefault="001641CE" w14:paraId="1C8953C6" w14:textId="32262BAC">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3531">
            <w:r w:rsidRPr="002148AE">
              <w:rPr>
                <w:rStyle w:val="Hyperlink"/>
                <w:noProof/>
              </w:rPr>
              <w:t xml:space="preserve">Focus area 1: Welsh Government Capital Grant Programme </w:t>
            </w:r>
            <w:r>
              <w:rPr>
                <w:rStyle w:val="Hyperlink"/>
                <w:noProof/>
              </w:rPr>
              <w:br/>
            </w:r>
            <w:r w:rsidRPr="002148AE">
              <w:rPr>
                <w:rStyle w:val="Hyperlink"/>
                <w:i/>
                <w:iCs/>
                <w:noProof/>
              </w:rPr>
              <w:t>(New Build and Existing Stock)</w:t>
            </w:r>
            <w:r>
              <w:rPr>
                <w:noProof/>
                <w:webHidden/>
              </w:rPr>
              <w:tab/>
            </w:r>
            <w:r>
              <w:rPr>
                <w:noProof/>
                <w:webHidden/>
              </w:rPr>
              <w:fldChar w:fldCharType="begin"/>
            </w:r>
            <w:r>
              <w:rPr>
                <w:noProof/>
                <w:webHidden/>
              </w:rPr>
              <w:instrText xml:space="preserve"> PAGEREF _Toc215583531 \h </w:instrText>
            </w:r>
            <w:r>
              <w:rPr>
                <w:noProof/>
                <w:webHidden/>
              </w:rPr>
            </w:r>
            <w:r>
              <w:rPr>
                <w:noProof/>
                <w:webHidden/>
              </w:rPr>
              <w:fldChar w:fldCharType="separate"/>
            </w:r>
            <w:r>
              <w:rPr>
                <w:noProof/>
                <w:webHidden/>
              </w:rPr>
              <w:t>1</w:t>
            </w:r>
            <w:r>
              <w:rPr>
                <w:noProof/>
                <w:webHidden/>
              </w:rPr>
              <w:fldChar w:fldCharType="end"/>
            </w:r>
          </w:hyperlink>
        </w:p>
        <w:p w:rsidR="001641CE" w:rsidRDefault="001641CE" w14:paraId="5B5FA559" w14:textId="6FD723B7">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3532">
            <w:r w:rsidRPr="002148AE">
              <w:rPr>
                <w:rStyle w:val="Hyperlink"/>
                <w:noProof/>
              </w:rPr>
              <w:t>Focus area 2: Council Owned Sites</w:t>
            </w:r>
            <w:r>
              <w:rPr>
                <w:noProof/>
                <w:webHidden/>
              </w:rPr>
              <w:tab/>
            </w:r>
            <w:r>
              <w:rPr>
                <w:noProof/>
                <w:webHidden/>
              </w:rPr>
              <w:fldChar w:fldCharType="begin"/>
            </w:r>
            <w:r>
              <w:rPr>
                <w:noProof/>
                <w:webHidden/>
              </w:rPr>
              <w:instrText xml:space="preserve"> PAGEREF _Toc215583532 \h </w:instrText>
            </w:r>
            <w:r>
              <w:rPr>
                <w:noProof/>
                <w:webHidden/>
              </w:rPr>
            </w:r>
            <w:r>
              <w:rPr>
                <w:noProof/>
                <w:webHidden/>
              </w:rPr>
              <w:fldChar w:fldCharType="separate"/>
            </w:r>
            <w:r>
              <w:rPr>
                <w:noProof/>
                <w:webHidden/>
              </w:rPr>
              <w:t>1</w:t>
            </w:r>
            <w:r>
              <w:rPr>
                <w:noProof/>
                <w:webHidden/>
              </w:rPr>
              <w:fldChar w:fldCharType="end"/>
            </w:r>
          </w:hyperlink>
        </w:p>
        <w:p w:rsidR="001641CE" w:rsidRDefault="001641CE" w14:paraId="7F57400A" w14:textId="3AE1DF6C">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3533">
            <w:r w:rsidRPr="002148AE">
              <w:rPr>
                <w:rStyle w:val="Hyperlink"/>
                <w:noProof/>
              </w:rPr>
              <w:t>Focus area 3: Private Sector Accommodation</w:t>
            </w:r>
            <w:r>
              <w:rPr>
                <w:noProof/>
                <w:webHidden/>
              </w:rPr>
              <w:tab/>
            </w:r>
            <w:r>
              <w:rPr>
                <w:noProof/>
                <w:webHidden/>
              </w:rPr>
              <w:fldChar w:fldCharType="begin"/>
            </w:r>
            <w:r>
              <w:rPr>
                <w:noProof/>
                <w:webHidden/>
              </w:rPr>
              <w:instrText xml:space="preserve"> PAGEREF _Toc215583533 \h </w:instrText>
            </w:r>
            <w:r>
              <w:rPr>
                <w:noProof/>
                <w:webHidden/>
              </w:rPr>
            </w:r>
            <w:r>
              <w:rPr>
                <w:noProof/>
                <w:webHidden/>
              </w:rPr>
              <w:fldChar w:fldCharType="separate"/>
            </w:r>
            <w:r>
              <w:rPr>
                <w:noProof/>
                <w:webHidden/>
              </w:rPr>
              <w:t>2</w:t>
            </w:r>
            <w:r>
              <w:rPr>
                <w:noProof/>
                <w:webHidden/>
              </w:rPr>
              <w:fldChar w:fldCharType="end"/>
            </w:r>
          </w:hyperlink>
        </w:p>
        <w:p w:rsidR="001641CE" w:rsidRDefault="001641CE" w14:paraId="5140B160" w14:textId="213DAE77">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3534">
            <w:r w:rsidRPr="002148AE">
              <w:rPr>
                <w:rStyle w:val="Hyperlink"/>
                <w:noProof/>
              </w:rPr>
              <w:t>Focus area 4: Policy and Procedures</w:t>
            </w:r>
            <w:r>
              <w:rPr>
                <w:noProof/>
                <w:webHidden/>
              </w:rPr>
              <w:tab/>
            </w:r>
            <w:r>
              <w:rPr>
                <w:noProof/>
                <w:webHidden/>
              </w:rPr>
              <w:fldChar w:fldCharType="begin"/>
            </w:r>
            <w:r>
              <w:rPr>
                <w:noProof/>
                <w:webHidden/>
              </w:rPr>
              <w:instrText xml:space="preserve"> PAGEREF _Toc215583534 \h </w:instrText>
            </w:r>
            <w:r>
              <w:rPr>
                <w:noProof/>
                <w:webHidden/>
              </w:rPr>
            </w:r>
            <w:r>
              <w:rPr>
                <w:noProof/>
                <w:webHidden/>
              </w:rPr>
              <w:fldChar w:fldCharType="separate"/>
            </w:r>
            <w:r>
              <w:rPr>
                <w:noProof/>
                <w:webHidden/>
              </w:rPr>
              <w:t>2</w:t>
            </w:r>
            <w:r>
              <w:rPr>
                <w:noProof/>
                <w:webHidden/>
              </w:rPr>
              <w:fldChar w:fldCharType="end"/>
            </w:r>
          </w:hyperlink>
        </w:p>
        <w:p w:rsidR="001641CE" w:rsidRDefault="001641CE" w14:paraId="39E17F86" w14:textId="756F3399">
          <w:pPr>
            <w:pStyle w:val="TOC1"/>
            <w:rPr>
              <w:rFonts w:asciiTheme="minorHAnsi" w:hAnsiTheme="minorHAnsi" w:eastAsiaTheme="minorEastAsia"/>
              <w:noProof/>
              <w:color w:val="auto"/>
              <w:kern w:val="2"/>
              <w:sz w:val="24"/>
              <w:szCs w:val="24"/>
              <w:lang w:eastAsia="en-GB"/>
              <w14:ligatures w14:val="standardContextual"/>
            </w:rPr>
          </w:pPr>
          <w:hyperlink w:history="1" w:anchor="_Toc215583535">
            <w:r w:rsidRPr="002148AE">
              <w:rPr>
                <w:rStyle w:val="Hyperlink"/>
                <w:noProof/>
              </w:rPr>
              <w:t>3</w:t>
            </w:r>
            <w:r>
              <w:rPr>
                <w:rFonts w:asciiTheme="minorHAnsi" w:hAnsiTheme="minorHAnsi" w:eastAsiaTheme="minorEastAsia"/>
                <w:noProof/>
                <w:color w:val="auto"/>
                <w:kern w:val="2"/>
                <w:sz w:val="24"/>
                <w:szCs w:val="24"/>
                <w:lang w:eastAsia="en-GB"/>
                <w14:ligatures w14:val="standardContextual"/>
              </w:rPr>
              <w:tab/>
            </w:r>
            <w:r w:rsidRPr="002148AE">
              <w:rPr>
                <w:rStyle w:val="Hyperlink"/>
                <w:noProof/>
              </w:rPr>
              <w:t>Resources</w:t>
            </w:r>
            <w:r>
              <w:rPr>
                <w:noProof/>
                <w:webHidden/>
              </w:rPr>
              <w:tab/>
            </w:r>
            <w:r>
              <w:rPr>
                <w:noProof/>
                <w:webHidden/>
              </w:rPr>
              <w:fldChar w:fldCharType="begin"/>
            </w:r>
            <w:r>
              <w:rPr>
                <w:noProof/>
                <w:webHidden/>
              </w:rPr>
              <w:instrText xml:space="preserve"> PAGEREF _Toc215583535 \h </w:instrText>
            </w:r>
            <w:r>
              <w:rPr>
                <w:noProof/>
                <w:webHidden/>
              </w:rPr>
            </w:r>
            <w:r>
              <w:rPr>
                <w:noProof/>
                <w:webHidden/>
              </w:rPr>
              <w:fldChar w:fldCharType="separate"/>
            </w:r>
            <w:r>
              <w:rPr>
                <w:noProof/>
                <w:webHidden/>
              </w:rPr>
              <w:t>2</w:t>
            </w:r>
            <w:r>
              <w:rPr>
                <w:noProof/>
                <w:webHidden/>
              </w:rPr>
              <w:fldChar w:fldCharType="end"/>
            </w:r>
          </w:hyperlink>
        </w:p>
        <w:p w:rsidR="001641CE" w:rsidRDefault="001641CE" w14:paraId="1AE614BE" w14:textId="27B22574">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3536">
            <w:r w:rsidRPr="002148AE">
              <w:rPr>
                <w:rStyle w:val="Hyperlink"/>
                <w:noProof/>
              </w:rPr>
              <w:t>Staffing</w:t>
            </w:r>
            <w:r>
              <w:rPr>
                <w:noProof/>
                <w:webHidden/>
              </w:rPr>
              <w:tab/>
            </w:r>
            <w:r>
              <w:rPr>
                <w:noProof/>
                <w:webHidden/>
              </w:rPr>
              <w:fldChar w:fldCharType="begin"/>
            </w:r>
            <w:r>
              <w:rPr>
                <w:noProof/>
                <w:webHidden/>
              </w:rPr>
              <w:instrText xml:space="preserve"> PAGEREF _Toc215583536 \h </w:instrText>
            </w:r>
            <w:r>
              <w:rPr>
                <w:noProof/>
                <w:webHidden/>
              </w:rPr>
            </w:r>
            <w:r>
              <w:rPr>
                <w:noProof/>
                <w:webHidden/>
              </w:rPr>
              <w:fldChar w:fldCharType="separate"/>
            </w:r>
            <w:r>
              <w:rPr>
                <w:noProof/>
                <w:webHidden/>
              </w:rPr>
              <w:t>2</w:t>
            </w:r>
            <w:r>
              <w:rPr>
                <w:noProof/>
                <w:webHidden/>
              </w:rPr>
              <w:fldChar w:fldCharType="end"/>
            </w:r>
          </w:hyperlink>
        </w:p>
        <w:p w:rsidR="001641CE" w:rsidRDefault="001641CE" w14:paraId="07B6876E" w14:textId="3AA4A770">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3537">
            <w:r w:rsidRPr="002148AE">
              <w:rPr>
                <w:rStyle w:val="Hyperlink"/>
                <w:noProof/>
              </w:rPr>
              <w:t>Council Land</w:t>
            </w:r>
            <w:r>
              <w:rPr>
                <w:noProof/>
                <w:webHidden/>
              </w:rPr>
              <w:tab/>
            </w:r>
            <w:r>
              <w:rPr>
                <w:noProof/>
                <w:webHidden/>
              </w:rPr>
              <w:fldChar w:fldCharType="begin"/>
            </w:r>
            <w:r>
              <w:rPr>
                <w:noProof/>
                <w:webHidden/>
              </w:rPr>
              <w:instrText xml:space="preserve"> PAGEREF _Toc215583537 \h </w:instrText>
            </w:r>
            <w:r>
              <w:rPr>
                <w:noProof/>
                <w:webHidden/>
              </w:rPr>
            </w:r>
            <w:r>
              <w:rPr>
                <w:noProof/>
                <w:webHidden/>
              </w:rPr>
              <w:fldChar w:fldCharType="separate"/>
            </w:r>
            <w:r>
              <w:rPr>
                <w:noProof/>
                <w:webHidden/>
              </w:rPr>
              <w:t>2</w:t>
            </w:r>
            <w:r>
              <w:rPr>
                <w:noProof/>
                <w:webHidden/>
              </w:rPr>
              <w:fldChar w:fldCharType="end"/>
            </w:r>
          </w:hyperlink>
        </w:p>
        <w:p w:rsidR="001641CE" w:rsidRDefault="001641CE" w14:paraId="0076489A" w14:textId="0CF65791">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3538">
            <w:r w:rsidRPr="002148AE">
              <w:rPr>
                <w:rStyle w:val="Hyperlink"/>
                <w:noProof/>
              </w:rPr>
              <w:t>Welsh Government Leasing Scheme Wales</w:t>
            </w:r>
            <w:r>
              <w:rPr>
                <w:noProof/>
                <w:webHidden/>
              </w:rPr>
              <w:tab/>
            </w:r>
            <w:r>
              <w:rPr>
                <w:noProof/>
                <w:webHidden/>
              </w:rPr>
              <w:fldChar w:fldCharType="begin"/>
            </w:r>
            <w:r>
              <w:rPr>
                <w:noProof/>
                <w:webHidden/>
              </w:rPr>
              <w:instrText xml:space="preserve"> PAGEREF _Toc215583538 \h </w:instrText>
            </w:r>
            <w:r>
              <w:rPr>
                <w:noProof/>
                <w:webHidden/>
              </w:rPr>
            </w:r>
            <w:r>
              <w:rPr>
                <w:noProof/>
                <w:webHidden/>
              </w:rPr>
              <w:fldChar w:fldCharType="separate"/>
            </w:r>
            <w:r>
              <w:rPr>
                <w:noProof/>
                <w:webHidden/>
              </w:rPr>
              <w:t>2</w:t>
            </w:r>
            <w:r>
              <w:rPr>
                <w:noProof/>
                <w:webHidden/>
              </w:rPr>
              <w:fldChar w:fldCharType="end"/>
            </w:r>
          </w:hyperlink>
        </w:p>
        <w:p w:rsidR="001641CE" w:rsidRDefault="001641CE" w14:paraId="54CBF3EA" w14:textId="0679FB42">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3539">
            <w:r w:rsidRPr="002148AE">
              <w:rPr>
                <w:rStyle w:val="Hyperlink"/>
                <w:noProof/>
              </w:rPr>
              <w:t>Partnership Working</w:t>
            </w:r>
            <w:r>
              <w:rPr>
                <w:noProof/>
                <w:webHidden/>
              </w:rPr>
              <w:tab/>
            </w:r>
            <w:r>
              <w:rPr>
                <w:noProof/>
                <w:webHidden/>
              </w:rPr>
              <w:fldChar w:fldCharType="begin"/>
            </w:r>
            <w:r>
              <w:rPr>
                <w:noProof/>
                <w:webHidden/>
              </w:rPr>
              <w:instrText xml:space="preserve"> PAGEREF _Toc215583539 \h </w:instrText>
            </w:r>
            <w:r>
              <w:rPr>
                <w:noProof/>
                <w:webHidden/>
              </w:rPr>
            </w:r>
            <w:r>
              <w:rPr>
                <w:noProof/>
                <w:webHidden/>
              </w:rPr>
              <w:fldChar w:fldCharType="separate"/>
            </w:r>
            <w:r>
              <w:rPr>
                <w:noProof/>
                <w:webHidden/>
              </w:rPr>
              <w:t>2</w:t>
            </w:r>
            <w:r>
              <w:rPr>
                <w:noProof/>
                <w:webHidden/>
              </w:rPr>
              <w:fldChar w:fldCharType="end"/>
            </w:r>
          </w:hyperlink>
        </w:p>
        <w:p w:rsidR="001641CE" w:rsidRDefault="001641CE" w14:paraId="2F594C26" w14:textId="378CCDE6">
          <w:pPr>
            <w:pStyle w:val="TOC1"/>
            <w:rPr>
              <w:rFonts w:asciiTheme="minorHAnsi" w:hAnsiTheme="minorHAnsi" w:eastAsiaTheme="minorEastAsia"/>
              <w:noProof/>
              <w:color w:val="auto"/>
              <w:kern w:val="2"/>
              <w:sz w:val="24"/>
              <w:szCs w:val="24"/>
              <w:lang w:eastAsia="en-GB"/>
              <w14:ligatures w14:val="standardContextual"/>
            </w:rPr>
          </w:pPr>
          <w:hyperlink w:history="1" w:anchor="_Toc215583540">
            <w:r w:rsidRPr="002148AE">
              <w:rPr>
                <w:rStyle w:val="Hyperlink"/>
                <w:noProof/>
              </w:rPr>
              <w:t>4</w:t>
            </w:r>
            <w:r>
              <w:rPr>
                <w:rFonts w:asciiTheme="minorHAnsi" w:hAnsiTheme="minorHAnsi" w:eastAsiaTheme="minorEastAsia"/>
                <w:noProof/>
                <w:color w:val="auto"/>
                <w:kern w:val="2"/>
                <w:sz w:val="24"/>
                <w:szCs w:val="24"/>
                <w:lang w:eastAsia="en-GB"/>
                <w14:ligatures w14:val="standardContextual"/>
              </w:rPr>
              <w:tab/>
            </w:r>
            <w:r w:rsidRPr="002148AE">
              <w:rPr>
                <w:rStyle w:val="Hyperlink"/>
                <w:noProof/>
              </w:rPr>
              <w:t>Monitoring Success</w:t>
            </w:r>
            <w:r>
              <w:rPr>
                <w:noProof/>
                <w:webHidden/>
              </w:rPr>
              <w:tab/>
            </w:r>
            <w:r>
              <w:rPr>
                <w:noProof/>
                <w:webHidden/>
              </w:rPr>
              <w:fldChar w:fldCharType="begin"/>
            </w:r>
            <w:r>
              <w:rPr>
                <w:noProof/>
                <w:webHidden/>
              </w:rPr>
              <w:instrText xml:space="preserve"> PAGEREF _Toc215583540 \h </w:instrText>
            </w:r>
            <w:r>
              <w:rPr>
                <w:noProof/>
                <w:webHidden/>
              </w:rPr>
            </w:r>
            <w:r>
              <w:rPr>
                <w:noProof/>
                <w:webHidden/>
              </w:rPr>
              <w:fldChar w:fldCharType="separate"/>
            </w:r>
            <w:r>
              <w:rPr>
                <w:noProof/>
                <w:webHidden/>
              </w:rPr>
              <w:t>3</w:t>
            </w:r>
            <w:r>
              <w:rPr>
                <w:noProof/>
                <w:webHidden/>
              </w:rPr>
              <w:fldChar w:fldCharType="end"/>
            </w:r>
          </w:hyperlink>
        </w:p>
        <w:p w:rsidR="001641CE" w:rsidRDefault="001641CE" w14:paraId="0FCB2194" w14:textId="0207FB19">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3541">
            <w:r w:rsidRPr="002148AE">
              <w:rPr>
                <w:rStyle w:val="Hyperlink"/>
                <w:noProof/>
              </w:rPr>
              <w:t>Key Performance Indicators (KPIs)</w:t>
            </w:r>
            <w:r>
              <w:rPr>
                <w:noProof/>
                <w:webHidden/>
              </w:rPr>
              <w:tab/>
            </w:r>
            <w:r>
              <w:rPr>
                <w:noProof/>
                <w:webHidden/>
              </w:rPr>
              <w:fldChar w:fldCharType="begin"/>
            </w:r>
            <w:r>
              <w:rPr>
                <w:noProof/>
                <w:webHidden/>
              </w:rPr>
              <w:instrText xml:space="preserve"> PAGEREF _Toc215583541 \h </w:instrText>
            </w:r>
            <w:r>
              <w:rPr>
                <w:noProof/>
                <w:webHidden/>
              </w:rPr>
            </w:r>
            <w:r>
              <w:rPr>
                <w:noProof/>
                <w:webHidden/>
              </w:rPr>
              <w:fldChar w:fldCharType="separate"/>
            </w:r>
            <w:r>
              <w:rPr>
                <w:noProof/>
                <w:webHidden/>
              </w:rPr>
              <w:t>3</w:t>
            </w:r>
            <w:r>
              <w:rPr>
                <w:noProof/>
                <w:webHidden/>
              </w:rPr>
              <w:fldChar w:fldCharType="end"/>
            </w:r>
          </w:hyperlink>
        </w:p>
        <w:p w:rsidR="001641CE" w:rsidRDefault="001641CE" w14:paraId="7ED3E116" w14:textId="1FB51DFE">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3542">
            <w:r w:rsidRPr="002148AE">
              <w:rPr>
                <w:rStyle w:val="Hyperlink"/>
                <w:noProof/>
              </w:rPr>
              <w:t>Partnership Working</w:t>
            </w:r>
            <w:r>
              <w:rPr>
                <w:noProof/>
                <w:webHidden/>
              </w:rPr>
              <w:tab/>
            </w:r>
            <w:r>
              <w:rPr>
                <w:noProof/>
                <w:webHidden/>
              </w:rPr>
              <w:fldChar w:fldCharType="begin"/>
            </w:r>
            <w:r>
              <w:rPr>
                <w:noProof/>
                <w:webHidden/>
              </w:rPr>
              <w:instrText xml:space="preserve"> PAGEREF _Toc215583542 \h </w:instrText>
            </w:r>
            <w:r>
              <w:rPr>
                <w:noProof/>
                <w:webHidden/>
              </w:rPr>
            </w:r>
            <w:r>
              <w:rPr>
                <w:noProof/>
                <w:webHidden/>
              </w:rPr>
              <w:fldChar w:fldCharType="separate"/>
            </w:r>
            <w:r>
              <w:rPr>
                <w:noProof/>
                <w:webHidden/>
              </w:rPr>
              <w:t>3</w:t>
            </w:r>
            <w:r>
              <w:rPr>
                <w:noProof/>
                <w:webHidden/>
              </w:rPr>
              <w:fldChar w:fldCharType="end"/>
            </w:r>
          </w:hyperlink>
        </w:p>
        <w:p w:rsidR="001641CE" w:rsidRDefault="001641CE" w14:paraId="216EFD48" w14:textId="45E66367">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3543">
            <w:r w:rsidRPr="002148AE">
              <w:rPr>
                <w:rStyle w:val="Hyperlink"/>
                <w:noProof/>
              </w:rPr>
              <w:t>Communication</w:t>
            </w:r>
            <w:r>
              <w:rPr>
                <w:noProof/>
                <w:webHidden/>
              </w:rPr>
              <w:tab/>
            </w:r>
            <w:r>
              <w:rPr>
                <w:noProof/>
                <w:webHidden/>
              </w:rPr>
              <w:fldChar w:fldCharType="begin"/>
            </w:r>
            <w:r>
              <w:rPr>
                <w:noProof/>
                <w:webHidden/>
              </w:rPr>
              <w:instrText xml:space="preserve"> PAGEREF _Toc215583543 \h </w:instrText>
            </w:r>
            <w:r>
              <w:rPr>
                <w:noProof/>
                <w:webHidden/>
              </w:rPr>
            </w:r>
            <w:r>
              <w:rPr>
                <w:noProof/>
                <w:webHidden/>
              </w:rPr>
              <w:fldChar w:fldCharType="separate"/>
            </w:r>
            <w:r>
              <w:rPr>
                <w:noProof/>
                <w:webHidden/>
              </w:rPr>
              <w:t>3</w:t>
            </w:r>
            <w:r>
              <w:rPr>
                <w:noProof/>
                <w:webHidden/>
              </w:rPr>
              <w:fldChar w:fldCharType="end"/>
            </w:r>
          </w:hyperlink>
        </w:p>
        <w:p w:rsidR="001641CE" w:rsidRDefault="001641CE" w14:paraId="39F78966" w14:textId="7C74A4F4">
          <w:pPr>
            <w:pStyle w:val="TOC1"/>
            <w:rPr>
              <w:rFonts w:asciiTheme="minorHAnsi" w:hAnsiTheme="minorHAnsi" w:eastAsiaTheme="minorEastAsia"/>
              <w:noProof/>
              <w:color w:val="auto"/>
              <w:kern w:val="2"/>
              <w:sz w:val="24"/>
              <w:szCs w:val="24"/>
              <w:lang w:eastAsia="en-GB"/>
              <w14:ligatures w14:val="standardContextual"/>
            </w:rPr>
          </w:pPr>
          <w:hyperlink w:history="1" w:anchor="_Toc215583544">
            <w:r w:rsidRPr="002148AE">
              <w:rPr>
                <w:rStyle w:val="Hyperlink"/>
                <w:noProof/>
              </w:rPr>
              <w:t>5</w:t>
            </w:r>
            <w:r>
              <w:rPr>
                <w:rFonts w:asciiTheme="minorHAnsi" w:hAnsiTheme="minorHAnsi" w:eastAsiaTheme="minorEastAsia"/>
                <w:noProof/>
                <w:color w:val="auto"/>
                <w:kern w:val="2"/>
                <w:sz w:val="24"/>
                <w:szCs w:val="24"/>
                <w:lang w:eastAsia="en-GB"/>
                <w14:ligatures w14:val="standardContextual"/>
              </w:rPr>
              <w:tab/>
            </w:r>
            <w:r w:rsidRPr="002148AE">
              <w:rPr>
                <w:rStyle w:val="Hyperlink"/>
                <w:noProof/>
              </w:rPr>
              <w:t>Implementation and Governance</w:t>
            </w:r>
            <w:r>
              <w:rPr>
                <w:noProof/>
                <w:webHidden/>
              </w:rPr>
              <w:tab/>
            </w:r>
            <w:r>
              <w:rPr>
                <w:noProof/>
                <w:webHidden/>
              </w:rPr>
              <w:fldChar w:fldCharType="begin"/>
            </w:r>
            <w:r>
              <w:rPr>
                <w:noProof/>
                <w:webHidden/>
              </w:rPr>
              <w:instrText xml:space="preserve"> PAGEREF _Toc215583544 \h </w:instrText>
            </w:r>
            <w:r>
              <w:rPr>
                <w:noProof/>
                <w:webHidden/>
              </w:rPr>
            </w:r>
            <w:r>
              <w:rPr>
                <w:noProof/>
                <w:webHidden/>
              </w:rPr>
              <w:fldChar w:fldCharType="separate"/>
            </w:r>
            <w:r>
              <w:rPr>
                <w:noProof/>
                <w:webHidden/>
              </w:rPr>
              <w:t>4</w:t>
            </w:r>
            <w:r>
              <w:rPr>
                <w:noProof/>
                <w:webHidden/>
              </w:rPr>
              <w:fldChar w:fldCharType="end"/>
            </w:r>
          </w:hyperlink>
        </w:p>
        <w:p w:rsidR="001641CE" w:rsidRDefault="001641CE" w14:paraId="685EEA84" w14:textId="05DB9F61">
          <w:pPr>
            <w:pStyle w:val="TOC1"/>
            <w:rPr>
              <w:rFonts w:asciiTheme="minorHAnsi" w:hAnsiTheme="minorHAnsi" w:eastAsiaTheme="minorEastAsia"/>
              <w:noProof/>
              <w:color w:val="auto"/>
              <w:kern w:val="2"/>
              <w:sz w:val="24"/>
              <w:szCs w:val="24"/>
              <w:lang w:eastAsia="en-GB"/>
              <w14:ligatures w14:val="standardContextual"/>
            </w:rPr>
          </w:pPr>
          <w:hyperlink w:history="1" w:anchor="_Toc215583545">
            <w:r w:rsidRPr="002148AE">
              <w:rPr>
                <w:rStyle w:val="Hyperlink"/>
                <w:noProof/>
              </w:rPr>
              <w:t>Appendix 1 - Action Plan</w:t>
            </w:r>
            <w:r>
              <w:rPr>
                <w:noProof/>
                <w:webHidden/>
              </w:rPr>
              <w:tab/>
            </w:r>
            <w:r>
              <w:rPr>
                <w:noProof/>
                <w:webHidden/>
              </w:rPr>
              <w:fldChar w:fldCharType="begin"/>
            </w:r>
            <w:r>
              <w:rPr>
                <w:noProof/>
                <w:webHidden/>
              </w:rPr>
              <w:instrText xml:space="preserve"> PAGEREF _Toc215583545 \h </w:instrText>
            </w:r>
            <w:r>
              <w:rPr>
                <w:noProof/>
                <w:webHidden/>
              </w:rPr>
            </w:r>
            <w:r>
              <w:rPr>
                <w:noProof/>
                <w:webHidden/>
              </w:rPr>
              <w:fldChar w:fldCharType="separate"/>
            </w:r>
            <w:r>
              <w:rPr>
                <w:noProof/>
                <w:webHidden/>
              </w:rPr>
              <w:t>5</w:t>
            </w:r>
            <w:r>
              <w:rPr>
                <w:noProof/>
                <w:webHidden/>
              </w:rPr>
              <w:fldChar w:fldCharType="end"/>
            </w:r>
          </w:hyperlink>
        </w:p>
        <w:p w:rsidRPr="00BF6983" w:rsidR="00BF6983" w:rsidP="00BF6983" w:rsidRDefault="00BF6983" w14:paraId="0719BDCA" w14:textId="1C57A957">
          <w:pPr>
            <w:pStyle w:val="TOC1"/>
            <w:rPr>
              <w:color w:val="000000" w:themeColor="text1"/>
            </w:rPr>
          </w:pPr>
          <w:r>
            <w:rPr>
              <w:color w:val="000000" w:themeColor="text1"/>
            </w:rPr>
            <w:fldChar w:fldCharType="end"/>
          </w:r>
        </w:p>
      </w:sdtContent>
    </w:sdt>
    <w:bookmarkEnd w:displacedByCustomXml="prev" w:id="0"/>
    <w:p w:rsidRPr="007F3970" w:rsidR="007F3970" w:rsidRDefault="00AA5931" w14:paraId="3470C13C" w14:textId="17903F15">
      <w:pPr>
        <w:rPr>
          <w:rFonts w:asciiTheme="majorHAnsi" w:hAnsiTheme="majorHAnsi" w:eastAsiaTheme="majorEastAsia" w:cstheme="majorBidi"/>
          <w:color w:val="2E74B5" w:themeColor="accent1" w:themeShade="BF"/>
          <w:sz w:val="40"/>
          <w:szCs w:val="40"/>
        </w:rPr>
      </w:pPr>
      <w:r>
        <w:br w:type="page"/>
      </w:r>
    </w:p>
    <w:p w:rsidRPr="00075E99" w:rsidR="006C27B4" w:rsidP="00075E99" w:rsidRDefault="006C27B4" w14:paraId="18EC3B20" w14:textId="31480EE9">
      <w:pPr>
        <w:pStyle w:val="Heading1"/>
      </w:pPr>
      <w:bookmarkStart w:name="_Toc215583529" w:id="1"/>
      <w:r w:rsidRPr="00075E99">
        <w:lastRenderedPageBreak/>
        <w:t>1</w:t>
      </w:r>
      <w:r w:rsidRPr="00075E99">
        <w:tab/>
        <w:t>Introduction</w:t>
      </w:r>
      <w:bookmarkEnd w:id="1"/>
    </w:p>
    <w:p w:rsidR="00AA5931" w:rsidP="00206C84" w:rsidRDefault="00AA5931" w14:paraId="44BCD31E" w14:textId="77777777">
      <w:pPr>
        <w:spacing w:after="0"/>
        <w:rPr>
          <w:rFonts w:ascii="Arial" w:hAnsi="Arial" w:cs="Arial"/>
        </w:rPr>
      </w:pPr>
    </w:p>
    <w:p w:rsidR="006C27B4" w:rsidP="00206C84" w:rsidRDefault="006C27B4" w14:paraId="39A4FDB0" w14:textId="393516EA">
      <w:pPr>
        <w:spacing w:after="0"/>
        <w:rPr>
          <w:rFonts w:ascii="Arial" w:hAnsi="Arial" w:cs="Arial"/>
        </w:rPr>
      </w:pPr>
      <w:r w:rsidRPr="09D27498">
        <w:rPr>
          <w:rFonts w:ascii="Arial" w:hAnsi="Arial" w:cs="Arial"/>
        </w:rPr>
        <w:t xml:space="preserve">The </w:t>
      </w:r>
      <w:r w:rsidRPr="09D27498" w:rsidR="00AE2792">
        <w:rPr>
          <w:rFonts w:ascii="Arial" w:hAnsi="Arial" w:cs="Arial"/>
        </w:rPr>
        <w:t xml:space="preserve">Affordable Housing Delivery </w:t>
      </w:r>
      <w:r w:rsidRPr="09D27498" w:rsidR="0CABB90D">
        <w:rPr>
          <w:rFonts w:ascii="Arial" w:hAnsi="Arial" w:cs="Arial"/>
        </w:rPr>
        <w:t>Plan (</w:t>
      </w:r>
      <w:r w:rsidRPr="09D27498">
        <w:rPr>
          <w:rFonts w:ascii="Arial" w:hAnsi="Arial" w:cs="Arial"/>
        </w:rPr>
        <w:t xml:space="preserve">the Plan) sets out </w:t>
      </w:r>
      <w:r w:rsidRPr="09D27498" w:rsidR="001D5EC0">
        <w:rPr>
          <w:rFonts w:ascii="Arial" w:hAnsi="Arial" w:cs="Arial"/>
        </w:rPr>
        <w:t>Conwy County Borough Council’s</w:t>
      </w:r>
      <w:r w:rsidRPr="09D27498">
        <w:rPr>
          <w:rFonts w:ascii="Arial" w:hAnsi="Arial" w:cs="Arial"/>
        </w:rPr>
        <w:t xml:space="preserve"> strategic approach to </w:t>
      </w:r>
      <w:r w:rsidRPr="09D27498" w:rsidR="00EA4D78">
        <w:rPr>
          <w:rFonts w:ascii="Arial" w:hAnsi="Arial" w:cs="Arial"/>
        </w:rPr>
        <w:t>increasing the supply of affordable housing</w:t>
      </w:r>
      <w:r w:rsidRPr="09D27498">
        <w:rPr>
          <w:rFonts w:ascii="Arial" w:hAnsi="Arial" w:cs="Arial"/>
        </w:rPr>
        <w:t xml:space="preserve"> </w:t>
      </w:r>
      <w:r w:rsidRPr="09D27498" w:rsidR="00A70BC3">
        <w:rPr>
          <w:rFonts w:ascii="Arial" w:hAnsi="Arial" w:cs="Arial"/>
        </w:rPr>
        <w:t xml:space="preserve">with a clear focus </w:t>
      </w:r>
      <w:r w:rsidRPr="09D27498" w:rsidR="008F528B">
        <w:rPr>
          <w:rFonts w:ascii="Arial" w:hAnsi="Arial" w:cs="Arial"/>
        </w:rPr>
        <w:t xml:space="preserve">on </w:t>
      </w:r>
      <w:r w:rsidRPr="09D27498" w:rsidR="00D31E83">
        <w:rPr>
          <w:rFonts w:ascii="Arial" w:hAnsi="Arial" w:cs="Arial"/>
        </w:rPr>
        <w:t xml:space="preserve">collaboration and the provision of </w:t>
      </w:r>
      <w:r w:rsidRPr="09D27498" w:rsidR="00306B35">
        <w:rPr>
          <w:rFonts w:ascii="Arial" w:hAnsi="Arial" w:cs="Arial"/>
        </w:rPr>
        <w:t>appropriate</w:t>
      </w:r>
      <w:r w:rsidRPr="09D27498" w:rsidR="00D31E83">
        <w:rPr>
          <w:rFonts w:ascii="Arial" w:hAnsi="Arial" w:cs="Arial"/>
        </w:rPr>
        <w:t xml:space="preserve"> </w:t>
      </w:r>
      <w:r w:rsidRPr="09D27498" w:rsidR="008364B1">
        <w:rPr>
          <w:rFonts w:ascii="Arial" w:hAnsi="Arial" w:cs="Arial"/>
        </w:rPr>
        <w:t>permanent social housing</w:t>
      </w:r>
      <w:r w:rsidRPr="09D27498" w:rsidR="004B0138">
        <w:rPr>
          <w:rFonts w:ascii="Arial" w:hAnsi="Arial" w:cs="Arial"/>
        </w:rPr>
        <w:t xml:space="preserve"> that meets </w:t>
      </w:r>
      <w:r w:rsidRPr="09D27498" w:rsidR="001C7238">
        <w:rPr>
          <w:rFonts w:ascii="Arial" w:hAnsi="Arial" w:cs="Arial"/>
        </w:rPr>
        <w:t xml:space="preserve">the </w:t>
      </w:r>
      <w:r w:rsidRPr="09D27498" w:rsidR="004B0138">
        <w:rPr>
          <w:rFonts w:ascii="Arial" w:hAnsi="Arial" w:cs="Arial"/>
        </w:rPr>
        <w:t>Welsh Government quality standards</w:t>
      </w:r>
      <w:r w:rsidRPr="09D27498" w:rsidR="007B7FA0">
        <w:rPr>
          <w:rFonts w:ascii="Arial" w:hAnsi="Arial" w:cs="Arial"/>
        </w:rPr>
        <w:t xml:space="preserve">. </w:t>
      </w:r>
      <w:r w:rsidRPr="09D27498" w:rsidR="003972F3">
        <w:rPr>
          <w:rFonts w:ascii="Arial" w:hAnsi="Arial" w:cs="Arial"/>
        </w:rPr>
        <w:t>It</w:t>
      </w:r>
      <w:r w:rsidRPr="09D27498" w:rsidR="00D31E83">
        <w:rPr>
          <w:rFonts w:ascii="Arial" w:hAnsi="Arial" w:cs="Arial"/>
        </w:rPr>
        <w:t xml:space="preserve"> </w:t>
      </w:r>
      <w:r w:rsidRPr="09D27498">
        <w:rPr>
          <w:rFonts w:ascii="Arial" w:hAnsi="Arial" w:cs="Arial"/>
        </w:rPr>
        <w:t>support</w:t>
      </w:r>
      <w:r w:rsidRPr="09D27498" w:rsidR="00D31E83">
        <w:rPr>
          <w:rFonts w:ascii="Arial" w:hAnsi="Arial" w:cs="Arial"/>
        </w:rPr>
        <w:t>s</w:t>
      </w:r>
      <w:r w:rsidRPr="09D27498">
        <w:rPr>
          <w:rFonts w:ascii="Arial" w:hAnsi="Arial" w:cs="Arial"/>
        </w:rPr>
        <w:t xml:space="preserve"> the delivery of the Local Housing and Homelessness Strateg</w:t>
      </w:r>
      <w:r w:rsidRPr="09D27498" w:rsidR="007B7FA0">
        <w:rPr>
          <w:rFonts w:ascii="Arial" w:hAnsi="Arial" w:cs="Arial"/>
        </w:rPr>
        <w:t xml:space="preserve">y, </w:t>
      </w:r>
      <w:r w:rsidRPr="09D27498" w:rsidR="008A0F2A">
        <w:rPr>
          <w:rFonts w:ascii="Arial" w:hAnsi="Arial" w:cs="Arial"/>
        </w:rPr>
        <w:t xml:space="preserve">with </w:t>
      </w:r>
      <w:r w:rsidRPr="09D27498" w:rsidR="006F4596">
        <w:rPr>
          <w:rFonts w:ascii="Arial" w:hAnsi="Arial" w:cs="Arial"/>
        </w:rPr>
        <w:t>t</w:t>
      </w:r>
      <w:r w:rsidRPr="09D27498">
        <w:rPr>
          <w:rFonts w:ascii="Arial" w:hAnsi="Arial" w:cs="Arial"/>
        </w:rPr>
        <w:t xml:space="preserve">he aim to </w:t>
      </w:r>
      <w:r w:rsidRPr="09D27498" w:rsidR="005F2469">
        <w:rPr>
          <w:rFonts w:ascii="Arial" w:hAnsi="Arial" w:cs="Arial"/>
        </w:rPr>
        <w:t xml:space="preserve">ensure that </w:t>
      </w:r>
      <w:r w:rsidRPr="09D27498" w:rsidR="008364B1">
        <w:rPr>
          <w:rFonts w:ascii="Arial" w:hAnsi="Arial" w:cs="Arial"/>
        </w:rPr>
        <w:t xml:space="preserve">the supply </w:t>
      </w:r>
      <w:r w:rsidRPr="09D27498" w:rsidR="00FD59BA">
        <w:rPr>
          <w:rFonts w:ascii="Arial" w:hAnsi="Arial" w:cs="Arial"/>
        </w:rPr>
        <w:t xml:space="preserve">of </w:t>
      </w:r>
      <w:r w:rsidRPr="09D27498" w:rsidR="008364B1">
        <w:rPr>
          <w:rFonts w:ascii="Arial" w:hAnsi="Arial" w:cs="Arial"/>
        </w:rPr>
        <w:t>affordable housing meets local housing need</w:t>
      </w:r>
      <w:r w:rsidRPr="09D27498" w:rsidR="005F2469">
        <w:rPr>
          <w:rFonts w:ascii="Arial" w:hAnsi="Arial" w:cs="Arial"/>
        </w:rPr>
        <w:t xml:space="preserve">. </w:t>
      </w:r>
    </w:p>
    <w:p w:rsidR="00AA5931" w:rsidP="00206C84" w:rsidRDefault="00AA5931" w14:paraId="51329FF6" w14:textId="77777777">
      <w:pPr>
        <w:spacing w:after="0"/>
        <w:rPr>
          <w:rFonts w:ascii="Arial" w:hAnsi="Arial" w:cs="Arial"/>
        </w:rPr>
      </w:pPr>
    </w:p>
    <w:p w:rsidR="006C27B4" w:rsidP="00206C84" w:rsidRDefault="006C27B4" w14:paraId="09A51239" w14:textId="1AFC0403">
      <w:pPr>
        <w:spacing w:after="0"/>
        <w:rPr>
          <w:rFonts w:ascii="Arial" w:hAnsi="Arial" w:cs="Arial"/>
        </w:rPr>
      </w:pPr>
      <w:r w:rsidRPr="0E68B73C">
        <w:rPr>
          <w:rFonts w:ascii="Arial" w:hAnsi="Arial" w:cs="Arial"/>
        </w:rPr>
        <w:t xml:space="preserve">The Plan outlines </w:t>
      </w:r>
      <w:r w:rsidRPr="0E68B73C" w:rsidR="008A0F2A">
        <w:rPr>
          <w:rFonts w:ascii="Arial" w:hAnsi="Arial" w:cs="Arial"/>
        </w:rPr>
        <w:t xml:space="preserve">key </w:t>
      </w:r>
      <w:r w:rsidRPr="0E68B73C">
        <w:rPr>
          <w:rFonts w:ascii="Arial" w:hAnsi="Arial" w:cs="Arial"/>
        </w:rPr>
        <w:t xml:space="preserve">objectives </w:t>
      </w:r>
      <w:r w:rsidRPr="0E68B73C" w:rsidR="00AF2D2F">
        <w:rPr>
          <w:rFonts w:ascii="Arial" w:hAnsi="Arial" w:cs="Arial"/>
        </w:rPr>
        <w:t xml:space="preserve">design </w:t>
      </w:r>
      <w:r w:rsidRPr="0E68B73C" w:rsidR="009B54D5">
        <w:rPr>
          <w:rFonts w:ascii="Arial" w:hAnsi="Arial" w:cs="Arial"/>
        </w:rPr>
        <w:t xml:space="preserve">to </w:t>
      </w:r>
      <w:r w:rsidRPr="0E68B73C" w:rsidR="004107C7">
        <w:rPr>
          <w:rFonts w:ascii="Arial" w:hAnsi="Arial" w:cs="Arial"/>
        </w:rPr>
        <w:t xml:space="preserve">ensure </w:t>
      </w:r>
      <w:r w:rsidRPr="0E68B73C" w:rsidR="00CB5ACE">
        <w:rPr>
          <w:rFonts w:ascii="Arial" w:hAnsi="Arial" w:cs="Arial"/>
        </w:rPr>
        <w:t>affordable</w:t>
      </w:r>
      <w:r w:rsidRPr="0E68B73C" w:rsidR="009B54D5">
        <w:rPr>
          <w:rFonts w:ascii="Arial" w:hAnsi="Arial" w:cs="Arial"/>
        </w:rPr>
        <w:t xml:space="preserve"> </w:t>
      </w:r>
      <w:r w:rsidRPr="0E68B73C" w:rsidR="004A640D">
        <w:rPr>
          <w:rFonts w:ascii="Arial" w:hAnsi="Arial" w:cs="Arial"/>
        </w:rPr>
        <w:t xml:space="preserve">housing </w:t>
      </w:r>
      <w:r w:rsidRPr="0E68B73C" w:rsidR="009B54D5">
        <w:rPr>
          <w:rFonts w:ascii="Arial" w:hAnsi="Arial" w:cs="Arial"/>
        </w:rPr>
        <w:t xml:space="preserve">in Conwy is delivered </w:t>
      </w:r>
      <w:r w:rsidRPr="0E68B73C" w:rsidR="00A4317C">
        <w:rPr>
          <w:rFonts w:ascii="Arial" w:hAnsi="Arial" w:cs="Arial"/>
        </w:rPr>
        <w:t>at pace</w:t>
      </w:r>
      <w:r w:rsidRPr="0E68B73C" w:rsidR="009B54D5">
        <w:rPr>
          <w:rFonts w:ascii="Arial" w:hAnsi="Arial" w:cs="Arial"/>
        </w:rPr>
        <w:t xml:space="preserve"> and </w:t>
      </w:r>
      <w:r w:rsidRPr="0E68B73C" w:rsidR="003262BE">
        <w:rPr>
          <w:rFonts w:ascii="Arial" w:hAnsi="Arial" w:cs="Arial"/>
        </w:rPr>
        <w:t>respon</w:t>
      </w:r>
      <w:r w:rsidRPr="0E68B73C" w:rsidR="00CF7520">
        <w:rPr>
          <w:rFonts w:ascii="Arial" w:hAnsi="Arial" w:cs="Arial"/>
        </w:rPr>
        <w:t>ds to</w:t>
      </w:r>
      <w:r w:rsidRPr="0E68B73C" w:rsidR="00BC46D4">
        <w:rPr>
          <w:rFonts w:ascii="Arial" w:hAnsi="Arial" w:cs="Arial"/>
        </w:rPr>
        <w:t xml:space="preserve"> the diverse needs</w:t>
      </w:r>
      <w:r w:rsidRPr="0E68B73C" w:rsidR="008E24EA">
        <w:rPr>
          <w:rFonts w:ascii="Arial" w:hAnsi="Arial" w:cs="Arial"/>
        </w:rPr>
        <w:t xml:space="preserve"> of customers</w:t>
      </w:r>
      <w:r w:rsidRPr="0E68B73C">
        <w:rPr>
          <w:rFonts w:ascii="Arial" w:hAnsi="Arial" w:cs="Arial"/>
        </w:rPr>
        <w:t>.</w:t>
      </w:r>
      <w:r w:rsidRPr="0E68B73C" w:rsidR="00866F49">
        <w:rPr>
          <w:rFonts w:ascii="Arial" w:hAnsi="Arial" w:cs="Arial"/>
        </w:rPr>
        <w:t xml:space="preserve"> It focuses on four core </w:t>
      </w:r>
      <w:r w:rsidRPr="0E68B73C" w:rsidR="003262BE">
        <w:rPr>
          <w:rFonts w:ascii="Arial" w:hAnsi="Arial" w:cs="Arial"/>
        </w:rPr>
        <w:t>areas:</w:t>
      </w:r>
      <w:r w:rsidRPr="0E68B73C" w:rsidR="008C60A9">
        <w:rPr>
          <w:rFonts w:ascii="Arial" w:hAnsi="Arial" w:cs="Arial"/>
        </w:rPr>
        <w:t xml:space="preserve"> the </w:t>
      </w:r>
      <w:r w:rsidRPr="0E68B73C" w:rsidR="002D79BB">
        <w:rPr>
          <w:rFonts w:ascii="Arial" w:hAnsi="Arial" w:cs="Arial"/>
        </w:rPr>
        <w:t xml:space="preserve">Welsh Government </w:t>
      </w:r>
      <w:r w:rsidRPr="0E68B73C" w:rsidR="0021360A">
        <w:rPr>
          <w:rFonts w:ascii="Arial" w:hAnsi="Arial" w:cs="Arial"/>
        </w:rPr>
        <w:t>c</w:t>
      </w:r>
      <w:r w:rsidRPr="0E68B73C" w:rsidR="002D79BB">
        <w:rPr>
          <w:rFonts w:ascii="Arial" w:hAnsi="Arial" w:cs="Arial"/>
        </w:rPr>
        <w:t xml:space="preserve">apital </w:t>
      </w:r>
      <w:r w:rsidRPr="0E68B73C" w:rsidR="0021360A">
        <w:rPr>
          <w:rFonts w:ascii="Arial" w:hAnsi="Arial" w:cs="Arial"/>
        </w:rPr>
        <w:t>g</w:t>
      </w:r>
      <w:r w:rsidRPr="0E68B73C" w:rsidR="002D79BB">
        <w:rPr>
          <w:rFonts w:ascii="Arial" w:hAnsi="Arial" w:cs="Arial"/>
        </w:rPr>
        <w:t xml:space="preserve">rant </w:t>
      </w:r>
      <w:r w:rsidRPr="0E68B73C" w:rsidR="0021360A">
        <w:rPr>
          <w:rFonts w:ascii="Arial" w:hAnsi="Arial" w:cs="Arial"/>
        </w:rPr>
        <w:t>p</w:t>
      </w:r>
      <w:r w:rsidRPr="0E68B73C" w:rsidR="002D79BB">
        <w:rPr>
          <w:rFonts w:ascii="Arial" w:hAnsi="Arial" w:cs="Arial"/>
        </w:rPr>
        <w:t xml:space="preserve">rogramme, </w:t>
      </w:r>
      <w:r w:rsidRPr="0E68B73C" w:rsidR="0021360A">
        <w:rPr>
          <w:rFonts w:ascii="Arial" w:hAnsi="Arial" w:cs="Arial"/>
        </w:rPr>
        <w:t>c</w:t>
      </w:r>
      <w:r w:rsidRPr="0E68B73C" w:rsidR="002D79BB">
        <w:rPr>
          <w:rFonts w:ascii="Arial" w:hAnsi="Arial" w:cs="Arial"/>
        </w:rPr>
        <w:t xml:space="preserve">ouncil </w:t>
      </w:r>
      <w:r w:rsidRPr="0E68B73C" w:rsidR="0021360A">
        <w:rPr>
          <w:rFonts w:ascii="Arial" w:hAnsi="Arial" w:cs="Arial"/>
        </w:rPr>
        <w:t>o</w:t>
      </w:r>
      <w:r w:rsidRPr="0E68B73C" w:rsidR="002D79BB">
        <w:rPr>
          <w:rFonts w:ascii="Arial" w:hAnsi="Arial" w:cs="Arial"/>
        </w:rPr>
        <w:t xml:space="preserve">wned </w:t>
      </w:r>
      <w:r w:rsidRPr="0E68B73C" w:rsidR="0021360A">
        <w:rPr>
          <w:rFonts w:ascii="Arial" w:hAnsi="Arial" w:cs="Arial"/>
        </w:rPr>
        <w:t>s</w:t>
      </w:r>
      <w:r w:rsidRPr="0E68B73C" w:rsidR="002D79BB">
        <w:rPr>
          <w:rFonts w:ascii="Arial" w:hAnsi="Arial" w:cs="Arial"/>
        </w:rPr>
        <w:t>ites,</w:t>
      </w:r>
      <w:r w:rsidRPr="0E68B73C" w:rsidR="001E32B9">
        <w:rPr>
          <w:rFonts w:ascii="Arial" w:hAnsi="Arial" w:cs="Arial"/>
        </w:rPr>
        <w:t xml:space="preserve"> the</w:t>
      </w:r>
      <w:r w:rsidRPr="0E68B73C" w:rsidR="002D79BB">
        <w:rPr>
          <w:rFonts w:ascii="Arial" w:hAnsi="Arial" w:cs="Arial"/>
        </w:rPr>
        <w:t xml:space="preserve"> </w:t>
      </w:r>
      <w:r w:rsidRPr="0E68B73C" w:rsidR="00D413C7">
        <w:rPr>
          <w:rFonts w:ascii="Arial" w:hAnsi="Arial" w:cs="Arial"/>
        </w:rPr>
        <w:t>p</w:t>
      </w:r>
      <w:r w:rsidRPr="0E68B73C" w:rsidR="002D79BB">
        <w:rPr>
          <w:rFonts w:ascii="Arial" w:hAnsi="Arial" w:cs="Arial"/>
        </w:rPr>
        <w:t xml:space="preserve">rivate </w:t>
      </w:r>
      <w:r w:rsidRPr="0E68B73C" w:rsidR="00D413C7">
        <w:rPr>
          <w:rFonts w:ascii="Arial" w:hAnsi="Arial" w:cs="Arial"/>
        </w:rPr>
        <w:t>s</w:t>
      </w:r>
      <w:r w:rsidRPr="0E68B73C" w:rsidR="002D79BB">
        <w:rPr>
          <w:rFonts w:ascii="Arial" w:hAnsi="Arial" w:cs="Arial"/>
        </w:rPr>
        <w:t>ector</w:t>
      </w:r>
      <w:r w:rsidRPr="0E68B73C" w:rsidR="001E32B9">
        <w:rPr>
          <w:rFonts w:ascii="Arial" w:hAnsi="Arial" w:cs="Arial"/>
        </w:rPr>
        <w:t xml:space="preserve"> and </w:t>
      </w:r>
      <w:r w:rsidRPr="0E68B73C" w:rsidR="00D413C7">
        <w:rPr>
          <w:rFonts w:ascii="Arial" w:hAnsi="Arial" w:cs="Arial"/>
        </w:rPr>
        <w:t>h</w:t>
      </w:r>
      <w:r w:rsidRPr="0E68B73C" w:rsidR="001E32B9">
        <w:rPr>
          <w:rFonts w:ascii="Arial" w:hAnsi="Arial" w:cs="Arial"/>
        </w:rPr>
        <w:t xml:space="preserve">ousing </w:t>
      </w:r>
      <w:r w:rsidRPr="0E68B73C" w:rsidR="00D413C7">
        <w:rPr>
          <w:rFonts w:ascii="Arial" w:hAnsi="Arial" w:cs="Arial"/>
        </w:rPr>
        <w:t>p</w:t>
      </w:r>
      <w:r w:rsidRPr="0E68B73C" w:rsidR="001E32B9">
        <w:rPr>
          <w:rFonts w:ascii="Arial" w:hAnsi="Arial" w:cs="Arial"/>
        </w:rPr>
        <w:t>olicy</w:t>
      </w:r>
      <w:r w:rsidRPr="0E68B73C" w:rsidR="00376143">
        <w:rPr>
          <w:rFonts w:ascii="Arial" w:hAnsi="Arial" w:cs="Arial"/>
        </w:rPr>
        <w:t>.</w:t>
      </w:r>
      <w:r w:rsidRPr="0E68B73C" w:rsidR="00CB5ACE">
        <w:rPr>
          <w:rFonts w:ascii="Arial" w:hAnsi="Arial" w:cs="Arial"/>
        </w:rPr>
        <w:t xml:space="preserve"> </w:t>
      </w:r>
      <w:r w:rsidRPr="0E68B73C" w:rsidR="009D7D0A">
        <w:rPr>
          <w:rFonts w:ascii="Arial" w:hAnsi="Arial" w:cs="Arial"/>
        </w:rPr>
        <w:t xml:space="preserve">Each area represents a key stakeholder group with unique challenges and opportunities. </w:t>
      </w:r>
      <w:r w:rsidRPr="0E68B73C" w:rsidR="006A30B9">
        <w:rPr>
          <w:rFonts w:ascii="Arial" w:hAnsi="Arial" w:cs="Arial"/>
        </w:rPr>
        <w:t>The Plan</w:t>
      </w:r>
      <w:r w:rsidRPr="0E68B73C">
        <w:rPr>
          <w:rFonts w:ascii="Arial" w:hAnsi="Arial" w:cs="Arial"/>
        </w:rPr>
        <w:t xml:space="preserve"> is designed to be a dynamic document, reviewed and updated annually to reflect progress, emerging challenges and evolving policy and legislation. </w:t>
      </w:r>
    </w:p>
    <w:p w:rsidR="00AA5931" w:rsidP="00206C84" w:rsidRDefault="00AA5931" w14:paraId="03BB2787" w14:textId="77777777">
      <w:pPr>
        <w:spacing w:after="0"/>
        <w:rPr>
          <w:rFonts w:ascii="Arial" w:hAnsi="Arial" w:cs="Arial"/>
        </w:rPr>
      </w:pPr>
    </w:p>
    <w:p w:rsidR="006C27B4" w:rsidP="00206C84" w:rsidRDefault="006C27B4" w14:paraId="75D95C48" w14:textId="101F828A">
      <w:pPr>
        <w:spacing w:after="0"/>
        <w:rPr>
          <w:rFonts w:ascii="Arial" w:hAnsi="Arial" w:cs="Arial"/>
        </w:rPr>
      </w:pPr>
      <w:r w:rsidRPr="09D27498">
        <w:rPr>
          <w:rFonts w:ascii="Arial" w:hAnsi="Arial" w:cs="Arial"/>
        </w:rPr>
        <w:t xml:space="preserve">The Action Plan in </w:t>
      </w:r>
      <w:r w:rsidR="00210756">
        <w:rPr>
          <w:rFonts w:ascii="Arial" w:hAnsi="Arial" w:cs="Arial"/>
        </w:rPr>
        <w:t>A</w:t>
      </w:r>
      <w:r w:rsidRPr="09D27498">
        <w:rPr>
          <w:rFonts w:ascii="Arial" w:hAnsi="Arial" w:cs="Arial"/>
        </w:rPr>
        <w:t xml:space="preserve">ppendix 1 provides the detailed steps that will be taken to implement the </w:t>
      </w:r>
      <w:r w:rsidRPr="09D27498" w:rsidR="00AE2792">
        <w:rPr>
          <w:rFonts w:ascii="Arial" w:hAnsi="Arial" w:cs="Arial"/>
        </w:rPr>
        <w:t xml:space="preserve">Affordable Housing Delivery </w:t>
      </w:r>
      <w:r w:rsidRPr="09D27498" w:rsidR="2684B72B">
        <w:rPr>
          <w:rFonts w:ascii="Arial" w:hAnsi="Arial" w:cs="Arial"/>
        </w:rPr>
        <w:t>Plan.</w:t>
      </w:r>
      <w:r w:rsidRPr="09D27498">
        <w:rPr>
          <w:rFonts w:ascii="Arial" w:hAnsi="Arial" w:cs="Arial"/>
        </w:rPr>
        <w:t xml:space="preserve"> It outlines activities, responsible officers, timescales and expected outcomes for </w:t>
      </w:r>
      <w:r w:rsidRPr="09D27498" w:rsidR="00FA238E">
        <w:rPr>
          <w:rFonts w:ascii="Arial" w:hAnsi="Arial" w:cs="Arial"/>
        </w:rPr>
        <w:t>each of the four focus areas</w:t>
      </w:r>
      <w:r w:rsidRPr="09D27498">
        <w:rPr>
          <w:rFonts w:ascii="Arial" w:hAnsi="Arial" w:cs="Arial"/>
        </w:rPr>
        <w:t>. The Action Plan serves as a practical tool to guide delivery, monitor progress and ensure accountability across all areas of work.</w:t>
      </w:r>
    </w:p>
    <w:p w:rsidR="00AA5931" w:rsidP="00206C84" w:rsidRDefault="00AA5931" w14:paraId="0B645DC9" w14:textId="77777777">
      <w:pPr>
        <w:spacing w:after="0"/>
        <w:rPr>
          <w:rFonts w:ascii="Arial" w:hAnsi="Arial" w:cs="Arial"/>
          <w:b/>
          <w:bCs/>
        </w:rPr>
      </w:pPr>
    </w:p>
    <w:p w:rsidR="006C27B4" w:rsidP="00075E99" w:rsidRDefault="00B03CFA" w14:paraId="30FA99D5" w14:textId="3DE8146D">
      <w:pPr>
        <w:pStyle w:val="Heading1"/>
      </w:pPr>
      <w:bookmarkStart w:name="_Toc215583530" w:id="2"/>
      <w:r w:rsidRPr="00B03CFA">
        <w:t>2</w:t>
      </w:r>
      <w:r w:rsidRPr="00B03CFA">
        <w:tab/>
        <w:t>Core Objectives by Focus Area</w:t>
      </w:r>
      <w:bookmarkEnd w:id="2"/>
    </w:p>
    <w:p w:rsidR="00AA5931" w:rsidP="00AA5931" w:rsidRDefault="00AA5931" w14:paraId="43FF5569" w14:textId="77777777">
      <w:pPr>
        <w:spacing w:after="0"/>
        <w:rPr>
          <w:rFonts w:ascii="Arial" w:hAnsi="Arial" w:cs="Arial"/>
          <w:b/>
          <w:bCs/>
        </w:rPr>
      </w:pPr>
    </w:p>
    <w:p w:rsidRPr="00075E99" w:rsidR="00B03CFA" w:rsidP="00075E99" w:rsidRDefault="002A2F21" w14:paraId="7C4F3886" w14:textId="246EA6BD">
      <w:pPr>
        <w:pStyle w:val="Heading2"/>
      </w:pPr>
      <w:bookmarkStart w:name="_Toc215583531" w:id="3"/>
      <w:r w:rsidRPr="00075E99">
        <w:t xml:space="preserve">Focus area 1: </w:t>
      </w:r>
      <w:r w:rsidRPr="00075E99" w:rsidR="00B8758B">
        <w:t xml:space="preserve">Welsh Government Capital </w:t>
      </w:r>
      <w:r w:rsidRPr="00075E99" w:rsidR="00660A0A">
        <w:t>Grant Programme</w:t>
      </w:r>
      <w:r w:rsidRPr="00075E99" w:rsidR="006405B1">
        <w:t xml:space="preserve"> </w:t>
      </w:r>
      <w:r w:rsidRPr="00075E99" w:rsidR="006405B1">
        <w:rPr>
          <w:i/>
          <w:iCs/>
        </w:rPr>
        <w:t>(New Build</w:t>
      </w:r>
      <w:r w:rsidRPr="00075E99" w:rsidR="00EE31BC">
        <w:rPr>
          <w:i/>
          <w:iCs/>
        </w:rPr>
        <w:t xml:space="preserve"> and Existing Stock)</w:t>
      </w:r>
      <w:bookmarkEnd w:id="3"/>
    </w:p>
    <w:p w:rsidR="00AA5931" w:rsidP="00AA5931" w:rsidRDefault="00AA5931" w14:paraId="02357B80" w14:textId="77777777">
      <w:pPr>
        <w:spacing w:after="0"/>
        <w:rPr>
          <w:rFonts w:ascii="Arial" w:hAnsi="Arial" w:cs="Arial"/>
          <w:i/>
          <w:iCs/>
        </w:rPr>
      </w:pPr>
    </w:p>
    <w:p w:rsidR="00BA3149" w:rsidP="11110251" w:rsidRDefault="00BA3149" w14:paraId="53EC3498" w14:textId="0977510E">
      <w:pPr>
        <w:spacing w:after="0"/>
        <w:rPr>
          <w:rFonts w:ascii="Arial" w:hAnsi="Arial" w:cs="Arial"/>
          <w:i/>
          <w:iCs/>
        </w:rPr>
      </w:pPr>
      <w:r w:rsidRPr="11110251">
        <w:rPr>
          <w:rFonts w:ascii="Arial" w:hAnsi="Arial" w:cs="Arial"/>
          <w:i/>
          <w:iCs/>
        </w:rPr>
        <w:t xml:space="preserve">Objective: </w:t>
      </w:r>
      <w:r w:rsidRPr="11110251" w:rsidR="008E2636">
        <w:rPr>
          <w:rFonts w:ascii="Arial" w:hAnsi="Arial" w:cs="Arial"/>
          <w:i/>
          <w:iCs/>
        </w:rPr>
        <w:t>Maximise the use of</w:t>
      </w:r>
      <w:r w:rsidRPr="11110251" w:rsidR="5C1F55BC">
        <w:rPr>
          <w:rFonts w:ascii="Arial" w:hAnsi="Arial" w:cs="Arial"/>
          <w:i/>
          <w:iCs/>
        </w:rPr>
        <w:t xml:space="preserve"> all available</w:t>
      </w:r>
      <w:r w:rsidRPr="11110251" w:rsidR="008E2636">
        <w:rPr>
          <w:rFonts w:ascii="Arial" w:hAnsi="Arial" w:cs="Arial"/>
          <w:i/>
          <w:iCs/>
        </w:rPr>
        <w:t xml:space="preserve"> Welsh Government capital grant funding</w:t>
      </w:r>
      <w:r w:rsidRPr="11110251" w:rsidR="5EA9F556">
        <w:rPr>
          <w:rFonts w:ascii="Arial" w:hAnsi="Arial" w:cs="Arial"/>
          <w:i/>
          <w:iCs/>
        </w:rPr>
        <w:t>, including regeneration, social housing and Transitional Accommodation Capital Programme,</w:t>
      </w:r>
      <w:r w:rsidRPr="11110251" w:rsidR="008E2636">
        <w:rPr>
          <w:rFonts w:ascii="Arial" w:hAnsi="Arial" w:cs="Arial"/>
          <w:i/>
          <w:iCs/>
        </w:rPr>
        <w:t xml:space="preserve"> </w:t>
      </w:r>
      <w:r w:rsidRPr="11110251" w:rsidR="008112F4">
        <w:rPr>
          <w:rFonts w:ascii="Arial" w:hAnsi="Arial" w:cs="Arial"/>
          <w:i/>
          <w:iCs/>
        </w:rPr>
        <w:t>to increase the supply of new affordable housing and making best of existing stock, ensuring alignment with local housing needs, value for money and long-term sustainability</w:t>
      </w:r>
    </w:p>
    <w:p w:rsidR="00AA5931" w:rsidP="00AA5931" w:rsidRDefault="00AA5931" w14:paraId="2D30618C" w14:textId="77777777">
      <w:pPr>
        <w:spacing w:after="0"/>
        <w:rPr>
          <w:rFonts w:ascii="Arial" w:hAnsi="Arial" w:cs="Arial"/>
        </w:rPr>
      </w:pPr>
    </w:p>
    <w:p w:rsidRPr="00277B9E" w:rsidR="000B04A4" w:rsidP="00AA5931" w:rsidRDefault="00277B9E" w14:paraId="41D7CC1F" w14:textId="58CF8BBB">
      <w:pPr>
        <w:spacing w:after="0"/>
        <w:rPr>
          <w:rFonts w:ascii="Arial" w:hAnsi="Arial" w:cs="Arial"/>
        </w:rPr>
      </w:pPr>
      <w:r w:rsidRPr="0E68B73C">
        <w:rPr>
          <w:rFonts w:ascii="Arial" w:hAnsi="Arial" w:cs="Arial"/>
        </w:rPr>
        <w:t xml:space="preserve">The demand for </w:t>
      </w:r>
      <w:r w:rsidRPr="0E68B73C" w:rsidR="00785DAA">
        <w:rPr>
          <w:rFonts w:ascii="Arial" w:hAnsi="Arial" w:cs="Arial"/>
        </w:rPr>
        <w:t>affordable housing</w:t>
      </w:r>
      <w:r w:rsidRPr="0E68B73C">
        <w:rPr>
          <w:rFonts w:ascii="Arial" w:hAnsi="Arial" w:cs="Arial"/>
        </w:rPr>
        <w:t xml:space="preserve"> has </w:t>
      </w:r>
      <w:r w:rsidRPr="0E68B73C" w:rsidR="00F06EF2">
        <w:rPr>
          <w:rFonts w:ascii="Arial" w:hAnsi="Arial" w:cs="Arial"/>
        </w:rPr>
        <w:t>reached unprecedented levels in recent years</w:t>
      </w:r>
      <w:r w:rsidRPr="0E68B73C" w:rsidR="00AC3893">
        <w:rPr>
          <w:rFonts w:ascii="Arial" w:hAnsi="Arial" w:cs="Arial"/>
        </w:rPr>
        <w:t xml:space="preserve"> and </w:t>
      </w:r>
      <w:r w:rsidRPr="0E68B73C" w:rsidR="00B60015">
        <w:rPr>
          <w:rFonts w:ascii="Arial" w:hAnsi="Arial" w:cs="Arial"/>
        </w:rPr>
        <w:t>the demand for affordable housing far outstrips supply</w:t>
      </w:r>
      <w:r w:rsidRPr="0E68B73C" w:rsidR="00E95768">
        <w:rPr>
          <w:rFonts w:ascii="Arial" w:hAnsi="Arial" w:cs="Arial"/>
        </w:rPr>
        <w:t>, highlighting the need for</w:t>
      </w:r>
      <w:r w:rsidRPr="0E68B73C" w:rsidR="001E6604">
        <w:rPr>
          <w:rFonts w:ascii="Arial" w:hAnsi="Arial" w:cs="Arial"/>
        </w:rPr>
        <w:t xml:space="preserve"> an</w:t>
      </w:r>
      <w:r w:rsidRPr="0E68B73C" w:rsidR="00E95768">
        <w:rPr>
          <w:rFonts w:ascii="Arial" w:hAnsi="Arial" w:cs="Arial"/>
        </w:rPr>
        <w:t xml:space="preserve"> </w:t>
      </w:r>
      <w:r w:rsidRPr="0E68B73C" w:rsidR="00785DAA">
        <w:rPr>
          <w:rFonts w:ascii="Arial" w:hAnsi="Arial" w:cs="Arial"/>
        </w:rPr>
        <w:t xml:space="preserve">increased supply </w:t>
      </w:r>
      <w:r w:rsidRPr="0E68B73C" w:rsidR="008E0BB6">
        <w:rPr>
          <w:rFonts w:ascii="Arial" w:hAnsi="Arial" w:cs="Arial"/>
        </w:rPr>
        <w:t xml:space="preserve">of </w:t>
      </w:r>
      <w:r w:rsidRPr="0E68B73C" w:rsidR="3FFAF8BF">
        <w:rPr>
          <w:rFonts w:ascii="Arial" w:hAnsi="Arial" w:cs="Arial"/>
        </w:rPr>
        <w:t xml:space="preserve">new </w:t>
      </w:r>
      <w:r w:rsidRPr="0E68B73C" w:rsidR="008E0BB6">
        <w:rPr>
          <w:rFonts w:ascii="Arial" w:hAnsi="Arial" w:cs="Arial"/>
        </w:rPr>
        <w:t xml:space="preserve">affordable housing </w:t>
      </w:r>
      <w:r w:rsidRPr="0E68B73C" w:rsidR="4AFAF488">
        <w:rPr>
          <w:rFonts w:ascii="Arial" w:hAnsi="Arial" w:cs="Arial"/>
        </w:rPr>
        <w:t>and interventions</w:t>
      </w:r>
      <w:r w:rsidRPr="0E68B73C" w:rsidR="649E52F8">
        <w:rPr>
          <w:rFonts w:ascii="Arial" w:hAnsi="Arial" w:cs="Arial"/>
        </w:rPr>
        <w:t xml:space="preserve"> </w:t>
      </w:r>
      <w:r w:rsidRPr="0E68B73C" w:rsidR="4AFAF488">
        <w:rPr>
          <w:rFonts w:ascii="Arial" w:hAnsi="Arial" w:cs="Arial"/>
        </w:rPr>
        <w:t xml:space="preserve">to make better use of existing homes. </w:t>
      </w:r>
    </w:p>
    <w:p w:rsidR="00AA5931" w:rsidP="00AA5931" w:rsidRDefault="00AA5931" w14:paraId="0E20EA97" w14:textId="77777777">
      <w:pPr>
        <w:spacing w:after="0"/>
        <w:rPr>
          <w:rFonts w:ascii="Arial" w:hAnsi="Arial" w:cs="Arial"/>
        </w:rPr>
      </w:pPr>
    </w:p>
    <w:p w:rsidR="00247A63" w:rsidP="00AA5931" w:rsidRDefault="00247A63" w14:paraId="3600B4B0" w14:textId="68BAE0AD">
      <w:pPr>
        <w:spacing w:after="0"/>
        <w:rPr>
          <w:rFonts w:ascii="Arial" w:hAnsi="Arial" w:cs="Arial"/>
        </w:rPr>
      </w:pPr>
      <w:r w:rsidRPr="11110251">
        <w:rPr>
          <w:rFonts w:ascii="Arial" w:hAnsi="Arial" w:cs="Arial"/>
        </w:rPr>
        <w:t xml:space="preserve">This </w:t>
      </w:r>
      <w:r w:rsidRPr="11110251" w:rsidR="72D688AF">
        <w:rPr>
          <w:rFonts w:ascii="Arial" w:hAnsi="Arial" w:cs="Arial"/>
        </w:rPr>
        <w:t xml:space="preserve">delivery </w:t>
      </w:r>
      <w:r w:rsidRPr="11110251">
        <w:rPr>
          <w:rFonts w:ascii="Arial" w:hAnsi="Arial" w:cs="Arial"/>
        </w:rPr>
        <w:t>area will focus on the following:</w:t>
      </w:r>
    </w:p>
    <w:p w:rsidRPr="00247A63" w:rsidR="00AA5931" w:rsidP="00AA5931" w:rsidRDefault="00AA5931" w14:paraId="3076A740" w14:textId="77777777">
      <w:pPr>
        <w:spacing w:after="0"/>
        <w:rPr>
          <w:rFonts w:ascii="Arial" w:hAnsi="Arial" w:cs="Arial"/>
        </w:rPr>
      </w:pPr>
    </w:p>
    <w:p w:rsidRPr="001764CE" w:rsidR="000B04A4" w:rsidP="11110251" w:rsidRDefault="0030186F" w14:paraId="41AD01FB" w14:textId="47B98A3C">
      <w:pPr>
        <w:pStyle w:val="ListParagraph"/>
        <w:numPr>
          <w:ilvl w:val="0"/>
          <w:numId w:val="2"/>
        </w:numPr>
        <w:spacing w:after="0"/>
        <w:rPr>
          <w:rFonts w:ascii="Arial" w:hAnsi="Arial" w:cs="Arial"/>
          <w:i/>
          <w:iCs/>
        </w:rPr>
      </w:pPr>
      <w:r w:rsidRPr="11110251">
        <w:rPr>
          <w:rFonts w:ascii="Arial" w:hAnsi="Arial" w:cs="Arial"/>
        </w:rPr>
        <w:t>Maximising</w:t>
      </w:r>
      <w:r w:rsidRPr="11110251" w:rsidR="748FA28F">
        <w:rPr>
          <w:rFonts w:ascii="Arial" w:hAnsi="Arial" w:cs="Arial"/>
        </w:rPr>
        <w:t xml:space="preserve"> capital</w:t>
      </w:r>
      <w:r w:rsidRPr="11110251">
        <w:rPr>
          <w:rFonts w:ascii="Arial" w:hAnsi="Arial" w:cs="Arial"/>
        </w:rPr>
        <w:t xml:space="preserve"> grant </w:t>
      </w:r>
      <w:r w:rsidRPr="11110251" w:rsidR="33C5C728">
        <w:rPr>
          <w:rFonts w:ascii="Arial" w:hAnsi="Arial" w:cs="Arial"/>
        </w:rPr>
        <w:t xml:space="preserve">and funding </w:t>
      </w:r>
      <w:r w:rsidRPr="11110251" w:rsidR="0086723C">
        <w:rPr>
          <w:rFonts w:ascii="Arial" w:hAnsi="Arial" w:cs="Arial"/>
        </w:rPr>
        <w:t>opportunities</w:t>
      </w:r>
      <w:r w:rsidRPr="11110251" w:rsidR="433A69B7">
        <w:rPr>
          <w:rFonts w:ascii="Arial" w:hAnsi="Arial" w:cs="Arial"/>
        </w:rPr>
        <w:t xml:space="preserve"> to accelerate supply of homes</w:t>
      </w:r>
    </w:p>
    <w:p w:rsidRPr="0086723C" w:rsidR="00EC5C08" w:rsidP="11110251" w:rsidRDefault="00EC5C08" w14:paraId="3333B354" w14:textId="7506C942">
      <w:pPr>
        <w:pStyle w:val="ListParagraph"/>
        <w:numPr>
          <w:ilvl w:val="0"/>
          <w:numId w:val="2"/>
        </w:numPr>
        <w:spacing w:after="0"/>
        <w:rPr>
          <w:rFonts w:ascii="Arial" w:hAnsi="Arial" w:cs="Arial"/>
          <w:i/>
          <w:iCs/>
        </w:rPr>
      </w:pPr>
      <w:r w:rsidRPr="11110251">
        <w:rPr>
          <w:rFonts w:ascii="Arial" w:hAnsi="Arial" w:cs="Arial"/>
        </w:rPr>
        <w:t>Monitoring</w:t>
      </w:r>
      <w:r w:rsidRPr="11110251" w:rsidR="211B68B9">
        <w:rPr>
          <w:rFonts w:ascii="Arial" w:hAnsi="Arial" w:cs="Arial"/>
        </w:rPr>
        <w:t xml:space="preserve"> </w:t>
      </w:r>
      <w:r w:rsidRPr="11110251" w:rsidR="4E03B7F0">
        <w:rPr>
          <w:rFonts w:ascii="Arial" w:hAnsi="Arial" w:cs="Arial"/>
        </w:rPr>
        <w:t xml:space="preserve">housing need </w:t>
      </w:r>
      <w:r w:rsidRPr="11110251" w:rsidR="196DC5D0">
        <w:rPr>
          <w:rFonts w:ascii="Arial" w:hAnsi="Arial" w:cs="Arial"/>
        </w:rPr>
        <w:t xml:space="preserve">data and trends to project </w:t>
      </w:r>
      <w:r w:rsidRPr="11110251" w:rsidR="211B68B9">
        <w:rPr>
          <w:rFonts w:ascii="Arial" w:hAnsi="Arial" w:cs="Arial"/>
        </w:rPr>
        <w:t>future</w:t>
      </w:r>
      <w:r w:rsidRPr="11110251">
        <w:rPr>
          <w:rFonts w:ascii="Arial" w:hAnsi="Arial" w:cs="Arial"/>
        </w:rPr>
        <w:t xml:space="preserve"> service demand</w:t>
      </w:r>
    </w:p>
    <w:p w:rsidRPr="009D6D12" w:rsidR="0086723C" w:rsidP="00AA5931" w:rsidRDefault="0086723C" w14:paraId="5FD6B1AE" w14:textId="1ABEBBA2">
      <w:pPr>
        <w:pStyle w:val="ListParagraph"/>
        <w:numPr>
          <w:ilvl w:val="0"/>
          <w:numId w:val="2"/>
        </w:numPr>
        <w:spacing w:after="0"/>
        <w:rPr>
          <w:rFonts w:ascii="Arial" w:hAnsi="Arial" w:cs="Arial"/>
          <w:i/>
          <w:iCs/>
        </w:rPr>
      </w:pPr>
      <w:r w:rsidRPr="0E68B73C">
        <w:rPr>
          <w:rFonts w:ascii="Arial" w:hAnsi="Arial" w:cs="Arial"/>
        </w:rPr>
        <w:t>Aligning priorities with social landlord providers</w:t>
      </w:r>
    </w:p>
    <w:p w:rsidRPr="004A3083" w:rsidR="095C0D10" w:rsidP="00AA5931" w:rsidRDefault="095C0D10" w14:paraId="5D31FB91" w14:textId="09BC97BB">
      <w:pPr>
        <w:pStyle w:val="ListParagraph"/>
        <w:numPr>
          <w:ilvl w:val="0"/>
          <w:numId w:val="2"/>
        </w:numPr>
        <w:spacing w:after="0"/>
        <w:rPr>
          <w:rFonts w:ascii="Arial" w:hAnsi="Arial" w:cs="Arial"/>
        </w:rPr>
      </w:pPr>
      <w:r w:rsidRPr="0E68B73C">
        <w:rPr>
          <w:rFonts w:ascii="Arial" w:hAnsi="Arial" w:cs="Arial"/>
        </w:rPr>
        <w:t>Redesignation and regeneration opportunities to align existing homes with presenting need</w:t>
      </w:r>
      <w:r w:rsidR="00210756">
        <w:rPr>
          <w:rFonts w:ascii="Arial" w:hAnsi="Arial" w:cs="Arial"/>
        </w:rPr>
        <w:t>.</w:t>
      </w:r>
    </w:p>
    <w:p w:rsidR="00AA5931" w:rsidP="00AA5931" w:rsidRDefault="00AA5931" w14:paraId="040D2B94" w14:textId="77777777">
      <w:pPr>
        <w:spacing w:after="0"/>
        <w:rPr>
          <w:rFonts w:ascii="Arial" w:hAnsi="Arial" w:cs="Arial"/>
          <w:b/>
          <w:bCs/>
        </w:rPr>
      </w:pPr>
    </w:p>
    <w:p w:rsidR="11110251" w:rsidP="11110251" w:rsidRDefault="11110251" w14:paraId="150829A3" w14:textId="6ABA192C">
      <w:pPr>
        <w:spacing w:after="0"/>
        <w:rPr>
          <w:rFonts w:ascii="Arial" w:hAnsi="Arial" w:cs="Arial"/>
          <w:b/>
          <w:bCs/>
        </w:rPr>
      </w:pPr>
    </w:p>
    <w:p w:rsidR="00997DE5" w:rsidP="11110251" w:rsidRDefault="00997DE5" w14:paraId="125FE4F1" w14:textId="77777777">
      <w:pPr>
        <w:spacing w:after="0"/>
        <w:rPr>
          <w:rFonts w:ascii="Arial" w:hAnsi="Arial" w:cs="Arial"/>
          <w:b/>
          <w:bCs/>
        </w:rPr>
      </w:pPr>
    </w:p>
    <w:p w:rsidR="00997DE5" w:rsidP="11110251" w:rsidRDefault="00997DE5" w14:paraId="0FB5ABFC" w14:textId="77777777">
      <w:pPr>
        <w:spacing w:after="0"/>
        <w:rPr>
          <w:rFonts w:ascii="Arial" w:hAnsi="Arial" w:cs="Arial"/>
          <w:b/>
          <w:bCs/>
        </w:rPr>
      </w:pPr>
    </w:p>
    <w:p w:rsidR="00997DE5" w:rsidP="11110251" w:rsidRDefault="00997DE5" w14:paraId="05ACC1CF" w14:textId="77777777">
      <w:pPr>
        <w:spacing w:after="0"/>
        <w:rPr>
          <w:rFonts w:ascii="Arial" w:hAnsi="Arial" w:cs="Arial"/>
          <w:b/>
          <w:bCs/>
        </w:rPr>
      </w:pPr>
    </w:p>
    <w:p w:rsidR="11110251" w:rsidP="11110251" w:rsidRDefault="11110251" w14:paraId="3FCB732C" w14:textId="373E4F54">
      <w:pPr>
        <w:spacing w:after="0"/>
        <w:rPr>
          <w:rFonts w:ascii="Arial" w:hAnsi="Arial" w:cs="Arial"/>
          <w:b/>
          <w:bCs/>
        </w:rPr>
      </w:pPr>
    </w:p>
    <w:p w:rsidR="11110251" w:rsidP="11110251" w:rsidRDefault="11110251" w14:paraId="27BE6EEE" w14:textId="46F0137D">
      <w:pPr>
        <w:spacing w:after="0"/>
        <w:rPr>
          <w:rFonts w:ascii="Arial" w:hAnsi="Arial" w:cs="Arial"/>
          <w:b/>
          <w:bCs/>
        </w:rPr>
      </w:pPr>
    </w:p>
    <w:p w:rsidRPr="00810CC8" w:rsidR="00B03CFA" w:rsidP="00075E99" w:rsidRDefault="002A2F21" w14:paraId="74717A31" w14:textId="52FB0C21">
      <w:pPr>
        <w:pStyle w:val="Heading2"/>
      </w:pPr>
      <w:bookmarkStart w:name="_Toc215583532" w:id="4"/>
      <w:r w:rsidRPr="00810CC8">
        <w:lastRenderedPageBreak/>
        <w:t xml:space="preserve">Focus area 2: </w:t>
      </w:r>
      <w:r w:rsidRPr="00810CC8" w:rsidR="00EE31BC">
        <w:t>Council Owned Sites</w:t>
      </w:r>
      <w:bookmarkEnd w:id="4"/>
    </w:p>
    <w:p w:rsidR="00AA5931" w:rsidP="00AA5931" w:rsidRDefault="00AA5931" w14:paraId="1F7D04DD" w14:textId="77777777">
      <w:pPr>
        <w:spacing w:after="0"/>
        <w:rPr>
          <w:rFonts w:ascii="Arial" w:hAnsi="Arial" w:cs="Arial"/>
          <w:i/>
          <w:iCs/>
        </w:rPr>
      </w:pPr>
    </w:p>
    <w:p w:rsidR="00BA3149" w:rsidP="00AA5931" w:rsidRDefault="00BA3149" w14:paraId="1A92F404" w14:textId="084D7B3A">
      <w:pPr>
        <w:spacing w:after="0"/>
        <w:rPr>
          <w:rFonts w:ascii="Arial" w:hAnsi="Arial" w:cs="Arial"/>
          <w:i/>
          <w:iCs/>
        </w:rPr>
      </w:pPr>
      <w:r w:rsidRPr="008866D6">
        <w:rPr>
          <w:rFonts w:ascii="Arial" w:hAnsi="Arial" w:cs="Arial"/>
          <w:i/>
          <w:iCs/>
        </w:rPr>
        <w:t>Objective:</w:t>
      </w:r>
      <w:r w:rsidRPr="00BA3149">
        <w:rPr>
          <w:rFonts w:ascii="Arial" w:hAnsi="Arial" w:cs="Arial"/>
          <w:i/>
          <w:iCs/>
        </w:rPr>
        <w:t xml:space="preserve"> </w:t>
      </w:r>
      <w:r w:rsidR="003A52E9">
        <w:rPr>
          <w:rFonts w:ascii="Arial" w:hAnsi="Arial" w:cs="Arial"/>
          <w:i/>
          <w:iCs/>
        </w:rPr>
        <w:t>Utilise surplus Council-owned land and assets for the delivery of affordable housin</w:t>
      </w:r>
      <w:r w:rsidR="00623FA4">
        <w:rPr>
          <w:rFonts w:ascii="Arial" w:hAnsi="Arial" w:cs="Arial"/>
          <w:i/>
          <w:iCs/>
        </w:rPr>
        <w:t>g</w:t>
      </w:r>
    </w:p>
    <w:p w:rsidR="00AA5931" w:rsidP="00AA5931" w:rsidRDefault="00AA5931" w14:paraId="4A022F3A" w14:textId="77777777">
      <w:pPr>
        <w:spacing w:after="0"/>
        <w:rPr>
          <w:rFonts w:ascii="Arial" w:hAnsi="Arial" w:cs="Arial"/>
        </w:rPr>
      </w:pPr>
    </w:p>
    <w:p w:rsidRPr="00551C89" w:rsidR="00CE2B50" w:rsidP="00AA5931" w:rsidRDefault="00CE2B50" w14:paraId="1373FA1B" w14:textId="22BE151B">
      <w:pPr>
        <w:spacing w:after="0"/>
        <w:rPr>
          <w:rFonts w:ascii="Arial" w:hAnsi="Arial" w:cs="Arial"/>
        </w:rPr>
      </w:pPr>
      <w:r>
        <w:rPr>
          <w:rFonts w:ascii="Arial" w:hAnsi="Arial" w:cs="Arial"/>
        </w:rPr>
        <w:t xml:space="preserve">The </w:t>
      </w:r>
      <w:r w:rsidR="002E754B">
        <w:rPr>
          <w:rFonts w:ascii="Arial" w:hAnsi="Arial" w:cs="Arial"/>
        </w:rPr>
        <w:t xml:space="preserve">shortage of suitable land for housing development has been highlighted as a barrier to </w:t>
      </w:r>
      <w:r w:rsidR="00AD2E23">
        <w:rPr>
          <w:rFonts w:ascii="Arial" w:hAnsi="Arial" w:cs="Arial"/>
        </w:rPr>
        <w:t xml:space="preserve">increasing the supply of affordable housing, with many sites </w:t>
      </w:r>
      <w:r w:rsidR="00856094">
        <w:rPr>
          <w:rFonts w:ascii="Arial" w:hAnsi="Arial" w:cs="Arial"/>
        </w:rPr>
        <w:t>unsuitable due to infrastructure constraints and challenging topography.</w:t>
      </w:r>
      <w:r w:rsidR="00AD2E23">
        <w:rPr>
          <w:rFonts w:ascii="Arial" w:hAnsi="Arial" w:cs="Arial"/>
        </w:rPr>
        <w:t xml:space="preserve"> </w:t>
      </w:r>
      <w:r w:rsidRPr="00247A63" w:rsidR="00247A63">
        <w:rPr>
          <w:rFonts w:ascii="Arial" w:hAnsi="Arial" w:cs="Arial"/>
        </w:rPr>
        <w:t xml:space="preserve">This area </w:t>
      </w:r>
      <w:r w:rsidR="00623FA4">
        <w:rPr>
          <w:rFonts w:ascii="Arial" w:hAnsi="Arial" w:cs="Arial"/>
        </w:rPr>
        <w:t xml:space="preserve">reinforces the Council’s commitment to making best use of its assets to meet local housing needs and support </w:t>
      </w:r>
      <w:r w:rsidR="00233348">
        <w:rPr>
          <w:rFonts w:ascii="Arial" w:hAnsi="Arial" w:cs="Arial"/>
        </w:rPr>
        <w:t>sustainable communities.</w:t>
      </w:r>
    </w:p>
    <w:p w:rsidR="00AA5931" w:rsidP="00AA5931" w:rsidRDefault="00AA5931" w14:paraId="6CA9B3AB" w14:textId="77777777">
      <w:pPr>
        <w:spacing w:after="0"/>
        <w:rPr>
          <w:rFonts w:ascii="Arial" w:hAnsi="Arial" w:cs="Arial"/>
          <w:b/>
          <w:bCs/>
        </w:rPr>
      </w:pPr>
    </w:p>
    <w:p w:rsidR="00B03CFA" w:rsidP="00075E99" w:rsidRDefault="002A2F21" w14:paraId="6C97349F" w14:textId="50DA9597">
      <w:pPr>
        <w:pStyle w:val="Heading2"/>
      </w:pPr>
      <w:bookmarkStart w:name="_Toc215583533" w:id="5"/>
      <w:r>
        <w:t xml:space="preserve">Focus area 3: </w:t>
      </w:r>
      <w:r w:rsidR="006405B1">
        <w:t>Private Sector Accommodation</w:t>
      </w:r>
      <w:bookmarkEnd w:id="5"/>
    </w:p>
    <w:p w:rsidR="00AA5931" w:rsidP="00AA5931" w:rsidRDefault="00AA5931" w14:paraId="5AC492CB" w14:textId="77777777">
      <w:pPr>
        <w:spacing w:after="0"/>
        <w:rPr>
          <w:rFonts w:ascii="Arial" w:hAnsi="Arial" w:cs="Arial"/>
          <w:i/>
          <w:iCs/>
        </w:rPr>
      </w:pPr>
    </w:p>
    <w:p w:rsidR="00BA3149" w:rsidP="00AA5931" w:rsidRDefault="00BA3149" w14:paraId="4DA54E39" w14:textId="455EA3F4">
      <w:pPr>
        <w:spacing w:after="0"/>
        <w:rPr>
          <w:rFonts w:ascii="Arial" w:hAnsi="Arial" w:cs="Arial"/>
          <w:i/>
          <w:iCs/>
        </w:rPr>
      </w:pPr>
      <w:r w:rsidRPr="0E68B73C">
        <w:rPr>
          <w:rFonts w:ascii="Arial" w:hAnsi="Arial" w:cs="Arial"/>
          <w:i/>
          <w:iCs/>
        </w:rPr>
        <w:t xml:space="preserve">Objective: </w:t>
      </w:r>
      <w:r w:rsidRPr="0E68B73C" w:rsidR="00DE0428">
        <w:rPr>
          <w:rFonts w:ascii="Arial" w:hAnsi="Arial" w:cs="Arial"/>
          <w:i/>
          <w:iCs/>
        </w:rPr>
        <w:t>Implement targeted initiatives that enable the use of private sector housing as affordable housing</w:t>
      </w:r>
      <w:r w:rsidRPr="0E68B73C" w:rsidR="00402076">
        <w:rPr>
          <w:rFonts w:ascii="Arial" w:hAnsi="Arial" w:cs="Arial"/>
          <w:i/>
          <w:iCs/>
        </w:rPr>
        <w:t xml:space="preserve">, expanding housing options for those in </w:t>
      </w:r>
      <w:r w:rsidRPr="0E68B73C" w:rsidR="6E50ABA5">
        <w:rPr>
          <w:rFonts w:ascii="Arial" w:hAnsi="Arial" w:cs="Arial"/>
          <w:i/>
          <w:iCs/>
        </w:rPr>
        <w:t xml:space="preserve">housing </w:t>
      </w:r>
      <w:r w:rsidRPr="0E68B73C" w:rsidR="00402076">
        <w:rPr>
          <w:rFonts w:ascii="Arial" w:hAnsi="Arial" w:cs="Arial"/>
          <w:i/>
          <w:iCs/>
        </w:rPr>
        <w:t xml:space="preserve">need </w:t>
      </w:r>
    </w:p>
    <w:p w:rsidR="00AA5931" w:rsidP="00AA5931" w:rsidRDefault="00AA5931" w14:paraId="394B12E1" w14:textId="77777777">
      <w:pPr>
        <w:spacing w:after="0"/>
        <w:rPr>
          <w:rFonts w:ascii="Arial" w:hAnsi="Arial" w:cs="Arial"/>
        </w:rPr>
      </w:pPr>
    </w:p>
    <w:p w:rsidRPr="00F51B06" w:rsidR="00B60015" w:rsidP="00AA5931" w:rsidRDefault="002E78EC" w14:paraId="1A746B48" w14:textId="424056B4">
      <w:pPr>
        <w:spacing w:after="0"/>
        <w:rPr>
          <w:rFonts w:ascii="Arial" w:hAnsi="Arial" w:cs="Arial"/>
        </w:rPr>
      </w:pPr>
      <w:r w:rsidRPr="0E68B73C">
        <w:rPr>
          <w:rFonts w:ascii="Arial" w:hAnsi="Arial" w:cs="Arial"/>
        </w:rPr>
        <w:t xml:space="preserve">Access to affordable housing in the private sector remains a significant challenge </w:t>
      </w:r>
      <w:r w:rsidRPr="0E68B73C" w:rsidR="002F6476">
        <w:rPr>
          <w:rFonts w:ascii="Arial" w:hAnsi="Arial" w:cs="Arial"/>
        </w:rPr>
        <w:t xml:space="preserve">across Conwy. </w:t>
      </w:r>
      <w:r w:rsidR="00D516DD">
        <w:rPr>
          <w:rFonts w:ascii="Arial" w:hAnsi="Arial" w:cs="Arial"/>
        </w:rPr>
        <w:t>According to the Local Housing Market Assessment 2025, m</w:t>
      </w:r>
      <w:r w:rsidRPr="0E68B73C" w:rsidR="002F6476">
        <w:rPr>
          <w:rFonts w:ascii="Arial" w:hAnsi="Arial" w:cs="Arial"/>
        </w:rPr>
        <w:t>arket rents and house prices have continued to rise, placing considerable pressure on households seeking secure and affordable housing</w:t>
      </w:r>
      <w:r w:rsidRPr="0E68B73C" w:rsidR="00F02EDB">
        <w:rPr>
          <w:rFonts w:ascii="Arial" w:hAnsi="Arial" w:cs="Arial"/>
        </w:rPr>
        <w:t>, particularly young people, single households and larger families.</w:t>
      </w:r>
      <w:r w:rsidRPr="0E68B73C" w:rsidR="002A094B">
        <w:rPr>
          <w:rFonts w:ascii="Arial" w:hAnsi="Arial" w:cs="Arial"/>
        </w:rPr>
        <w:t xml:space="preserve"> As a result, the Council recognis</w:t>
      </w:r>
      <w:r w:rsidRPr="0E68B73C" w:rsidR="00F51B06">
        <w:rPr>
          <w:rFonts w:ascii="Arial" w:hAnsi="Arial" w:cs="Arial"/>
        </w:rPr>
        <w:t>es the need to explore and implement innovative approaches to bring private sector housing into use as affordable housing, helping bring the gap between housing supply and demand.</w:t>
      </w:r>
    </w:p>
    <w:p w:rsidR="009D7D0A" w:rsidP="00AA5931" w:rsidRDefault="009D7D0A" w14:paraId="59A17754" w14:textId="77777777">
      <w:pPr>
        <w:spacing w:after="0"/>
        <w:rPr>
          <w:rFonts w:ascii="Arial" w:hAnsi="Arial" w:cs="Arial"/>
          <w:b/>
          <w:bCs/>
        </w:rPr>
      </w:pPr>
    </w:p>
    <w:p w:rsidR="004B3D68" w:rsidP="00075E99" w:rsidRDefault="002A2F21" w14:paraId="69B51F65" w14:textId="28EAFABA">
      <w:pPr>
        <w:pStyle w:val="Heading2"/>
      </w:pPr>
      <w:bookmarkStart w:name="_Toc215583534" w:id="6"/>
      <w:r>
        <w:t xml:space="preserve">Focus area 4: </w:t>
      </w:r>
      <w:r w:rsidR="006405B1">
        <w:t>Policy and Procedures</w:t>
      </w:r>
      <w:bookmarkEnd w:id="6"/>
    </w:p>
    <w:p w:rsidR="00AA5931" w:rsidP="00AA5931" w:rsidRDefault="00AA5931" w14:paraId="398FBCCB" w14:textId="77777777">
      <w:pPr>
        <w:spacing w:after="0"/>
        <w:rPr>
          <w:rFonts w:ascii="Arial" w:hAnsi="Arial" w:cs="Arial"/>
          <w:i/>
          <w:iCs/>
        </w:rPr>
      </w:pPr>
    </w:p>
    <w:p w:rsidR="00BA3149" w:rsidP="00AA5931" w:rsidRDefault="00BA3149" w14:paraId="1C2C400F" w14:textId="300A4CBD">
      <w:pPr>
        <w:spacing w:after="0"/>
        <w:rPr>
          <w:rFonts w:ascii="Arial" w:hAnsi="Arial" w:cs="Arial"/>
          <w:i/>
          <w:iCs/>
        </w:rPr>
      </w:pPr>
      <w:r w:rsidRPr="008866D6">
        <w:rPr>
          <w:rFonts w:ascii="Arial" w:hAnsi="Arial" w:cs="Arial"/>
          <w:i/>
          <w:iCs/>
        </w:rPr>
        <w:t>Objective:</w:t>
      </w:r>
      <w:r w:rsidRPr="00BA3149">
        <w:rPr>
          <w:rFonts w:ascii="Arial" w:hAnsi="Arial" w:cs="Arial"/>
          <w:i/>
          <w:iCs/>
        </w:rPr>
        <w:t xml:space="preserve"> </w:t>
      </w:r>
      <w:r w:rsidR="00822470">
        <w:rPr>
          <w:rFonts w:ascii="Arial" w:hAnsi="Arial" w:cs="Arial"/>
          <w:i/>
          <w:iCs/>
        </w:rPr>
        <w:t xml:space="preserve">Ensure Conwy’s housing allocation policy is </w:t>
      </w:r>
      <w:r w:rsidR="0099452F">
        <w:rPr>
          <w:rFonts w:ascii="Arial" w:hAnsi="Arial" w:cs="Arial"/>
          <w:i/>
          <w:iCs/>
        </w:rPr>
        <w:t>robust and effective, enabling fair, transparent and consistent access to affordable housing, prioritising those in greatest need and supporting the development of balan</w:t>
      </w:r>
      <w:r w:rsidR="004C392D">
        <w:rPr>
          <w:rFonts w:ascii="Arial" w:hAnsi="Arial" w:cs="Arial"/>
          <w:i/>
          <w:iCs/>
        </w:rPr>
        <w:t>ced, sustainable communities</w:t>
      </w:r>
    </w:p>
    <w:p w:rsidR="00AA5931" w:rsidP="00AA5931" w:rsidRDefault="00AA5931" w14:paraId="793E9EFB" w14:textId="77777777">
      <w:pPr>
        <w:spacing w:after="0"/>
        <w:rPr>
          <w:rFonts w:ascii="Arial" w:hAnsi="Arial" w:cs="Arial"/>
        </w:rPr>
      </w:pPr>
    </w:p>
    <w:p w:rsidRPr="002C714A" w:rsidR="00361DEA" w:rsidP="00AA5931" w:rsidRDefault="00361DEA" w14:paraId="458A9398" w14:textId="36A806C6">
      <w:pPr>
        <w:spacing w:after="0"/>
        <w:rPr>
          <w:rFonts w:ascii="Arial" w:hAnsi="Arial" w:cs="Arial"/>
        </w:rPr>
      </w:pPr>
      <w:r w:rsidRPr="0E68B73C">
        <w:rPr>
          <w:rFonts w:ascii="Arial" w:hAnsi="Arial" w:cs="Arial"/>
        </w:rPr>
        <w:t xml:space="preserve">The </w:t>
      </w:r>
      <w:r w:rsidRPr="0E68B73C" w:rsidR="004E1ACA">
        <w:rPr>
          <w:rFonts w:ascii="Arial" w:hAnsi="Arial" w:cs="Arial"/>
        </w:rPr>
        <w:t xml:space="preserve">housing allocation </w:t>
      </w:r>
      <w:r w:rsidRPr="0E68B73C" w:rsidR="6ECCD0F2">
        <w:rPr>
          <w:rFonts w:ascii="Arial" w:hAnsi="Arial" w:cs="Arial"/>
        </w:rPr>
        <w:t xml:space="preserve">policy </w:t>
      </w:r>
      <w:r w:rsidRPr="0E68B73C" w:rsidR="004E1ACA">
        <w:rPr>
          <w:rFonts w:ascii="Arial" w:hAnsi="Arial" w:cs="Arial"/>
        </w:rPr>
        <w:t xml:space="preserve">requires review to ensure alignment with updated Welsh Government policy </w:t>
      </w:r>
      <w:r w:rsidRPr="002C714A" w:rsidR="004E1ACA">
        <w:rPr>
          <w:rFonts w:ascii="Arial" w:hAnsi="Arial" w:cs="Arial"/>
        </w:rPr>
        <w:t>and legislation</w:t>
      </w:r>
      <w:r w:rsidRPr="002C714A" w:rsidR="006E5992">
        <w:rPr>
          <w:rFonts w:ascii="Arial" w:hAnsi="Arial" w:cs="Arial"/>
        </w:rPr>
        <w:t xml:space="preserve">. This area will also </w:t>
      </w:r>
      <w:r w:rsidRPr="002C714A" w:rsidR="00AB76C5">
        <w:rPr>
          <w:rFonts w:ascii="Arial" w:hAnsi="Arial" w:cs="Arial"/>
        </w:rPr>
        <w:t xml:space="preserve">focus on partnership working arrangements to </w:t>
      </w:r>
      <w:r w:rsidRPr="002C714A" w:rsidR="17536912">
        <w:rPr>
          <w:rFonts w:ascii="Arial" w:hAnsi="Arial" w:eastAsia="Arial" w:cs="Arial"/>
        </w:rPr>
        <w:t>create a modern, joined-up regional housing allocation scheme for North Wales. A system that provides an improved customer experience giving people more choice, consistency and control over their housing options. The partnership plan to deliver better value through strengthened regional arrangements, digital innovation and earlier intervention and prevention.</w:t>
      </w:r>
      <w:r w:rsidRPr="002C714A" w:rsidR="17536912">
        <w:rPr>
          <w:rFonts w:ascii="Arial" w:hAnsi="Arial" w:eastAsia="Arial" w:cs="Arial"/>
          <w:sz w:val="24"/>
          <w:szCs w:val="24"/>
        </w:rPr>
        <w:t xml:space="preserve"> </w:t>
      </w:r>
      <w:r w:rsidRPr="002C714A" w:rsidR="3D224E3C">
        <w:rPr>
          <w:rFonts w:ascii="Arial" w:hAnsi="Arial" w:cs="Arial"/>
        </w:rPr>
        <w:t>T</w:t>
      </w:r>
      <w:r w:rsidRPr="002C714A" w:rsidR="00AB76C5">
        <w:rPr>
          <w:rFonts w:ascii="Arial" w:hAnsi="Arial" w:cs="Arial"/>
        </w:rPr>
        <w:t>he p</w:t>
      </w:r>
      <w:r w:rsidRPr="002C714A" w:rsidR="04756D6A">
        <w:rPr>
          <w:rFonts w:ascii="Arial" w:hAnsi="Arial" w:cs="Arial"/>
        </w:rPr>
        <w:t xml:space="preserve">artnership will </w:t>
      </w:r>
      <w:r w:rsidRPr="002C714A" w:rsidR="13CC3B0E">
        <w:rPr>
          <w:rFonts w:ascii="Arial" w:hAnsi="Arial" w:cs="Arial"/>
        </w:rPr>
        <w:t>continue</w:t>
      </w:r>
      <w:r w:rsidRPr="002C714A" w:rsidR="00C2210A">
        <w:rPr>
          <w:rFonts w:ascii="Arial" w:hAnsi="Arial" w:cs="Arial"/>
        </w:rPr>
        <w:t xml:space="preserve"> to monitor compliance and partner’s commitment to uphold consistent, fair access to affordable housing.</w:t>
      </w:r>
    </w:p>
    <w:p w:rsidR="00AA5931" w:rsidP="00AA5931" w:rsidRDefault="00AA5931" w14:paraId="4D972A68" w14:textId="77777777">
      <w:pPr>
        <w:spacing w:after="0"/>
        <w:rPr>
          <w:rFonts w:ascii="Arial" w:hAnsi="Arial" w:cs="Arial"/>
          <w:b/>
          <w:bCs/>
        </w:rPr>
      </w:pPr>
    </w:p>
    <w:p w:rsidR="56E7756F" w:rsidP="56E7756F" w:rsidRDefault="56E7756F" w14:paraId="6CC6B73C" w14:textId="79C13F5C">
      <w:pPr>
        <w:spacing w:after="0"/>
        <w:rPr>
          <w:rFonts w:ascii="Arial" w:hAnsi="Arial" w:cs="Arial"/>
          <w:b/>
          <w:bCs/>
        </w:rPr>
      </w:pPr>
    </w:p>
    <w:p w:rsidR="56E7756F" w:rsidP="56E7756F" w:rsidRDefault="56E7756F" w14:paraId="6A5B7A22" w14:textId="6568404B">
      <w:pPr>
        <w:spacing w:after="0"/>
        <w:rPr>
          <w:rFonts w:ascii="Arial" w:hAnsi="Arial" w:cs="Arial"/>
          <w:b/>
          <w:bCs/>
        </w:rPr>
      </w:pPr>
    </w:p>
    <w:p w:rsidR="56E7756F" w:rsidP="56E7756F" w:rsidRDefault="56E7756F" w14:paraId="70009E93" w14:textId="2417529C">
      <w:pPr>
        <w:spacing w:after="0"/>
        <w:rPr>
          <w:rFonts w:ascii="Arial" w:hAnsi="Arial" w:cs="Arial"/>
          <w:b/>
          <w:bCs/>
        </w:rPr>
      </w:pPr>
    </w:p>
    <w:p w:rsidR="56E7756F" w:rsidP="56E7756F" w:rsidRDefault="56E7756F" w14:paraId="67E66F53" w14:textId="4B3F5C4F">
      <w:pPr>
        <w:spacing w:after="0"/>
        <w:rPr>
          <w:rFonts w:ascii="Arial" w:hAnsi="Arial" w:cs="Arial"/>
          <w:b/>
          <w:bCs/>
        </w:rPr>
      </w:pPr>
    </w:p>
    <w:p w:rsidR="56E7756F" w:rsidP="56E7756F" w:rsidRDefault="56E7756F" w14:paraId="7E9AFE52" w14:textId="773F07C9">
      <w:pPr>
        <w:spacing w:after="0"/>
        <w:rPr>
          <w:rFonts w:ascii="Arial" w:hAnsi="Arial" w:cs="Arial"/>
          <w:b/>
          <w:bCs/>
        </w:rPr>
      </w:pPr>
    </w:p>
    <w:p w:rsidR="56E7756F" w:rsidP="56E7756F" w:rsidRDefault="56E7756F" w14:paraId="68C0B6D6" w14:textId="5AE43C99">
      <w:pPr>
        <w:spacing w:after="0"/>
        <w:rPr>
          <w:rFonts w:ascii="Arial" w:hAnsi="Arial" w:cs="Arial"/>
          <w:b/>
          <w:bCs/>
        </w:rPr>
      </w:pPr>
    </w:p>
    <w:p w:rsidR="56E7756F" w:rsidP="56E7756F" w:rsidRDefault="56E7756F" w14:paraId="4E877891" w14:textId="14E660AC">
      <w:pPr>
        <w:spacing w:after="0"/>
        <w:rPr>
          <w:rFonts w:ascii="Arial" w:hAnsi="Arial" w:cs="Arial"/>
          <w:b/>
          <w:bCs/>
        </w:rPr>
      </w:pPr>
    </w:p>
    <w:p w:rsidR="56E7756F" w:rsidP="56E7756F" w:rsidRDefault="56E7756F" w14:paraId="23F2AE07" w14:textId="265C08A7">
      <w:pPr>
        <w:spacing w:after="0"/>
        <w:rPr>
          <w:rFonts w:ascii="Arial" w:hAnsi="Arial" w:cs="Arial"/>
          <w:b/>
          <w:bCs/>
        </w:rPr>
      </w:pPr>
    </w:p>
    <w:p w:rsidR="00997DE5" w:rsidP="56E7756F" w:rsidRDefault="00997DE5" w14:paraId="776A6925" w14:textId="77777777">
      <w:pPr>
        <w:spacing w:after="0"/>
        <w:rPr>
          <w:rFonts w:ascii="Arial" w:hAnsi="Arial" w:cs="Arial"/>
          <w:b/>
          <w:bCs/>
        </w:rPr>
      </w:pPr>
    </w:p>
    <w:p w:rsidR="00997DE5" w:rsidP="56E7756F" w:rsidRDefault="00997DE5" w14:paraId="5728C335" w14:textId="77777777">
      <w:pPr>
        <w:spacing w:after="0"/>
        <w:rPr>
          <w:rFonts w:ascii="Arial" w:hAnsi="Arial" w:cs="Arial"/>
          <w:b/>
          <w:bCs/>
        </w:rPr>
      </w:pPr>
    </w:p>
    <w:p w:rsidR="56E7756F" w:rsidP="56E7756F" w:rsidRDefault="56E7756F" w14:paraId="6D2D3E77" w14:textId="68282E13">
      <w:pPr>
        <w:spacing w:after="0"/>
        <w:rPr>
          <w:rFonts w:ascii="Arial" w:hAnsi="Arial" w:cs="Arial"/>
          <w:b/>
          <w:bCs/>
        </w:rPr>
      </w:pPr>
    </w:p>
    <w:p w:rsidR="001068DF" w:rsidP="00075E99" w:rsidRDefault="001068DF" w14:paraId="0DBC3C15" w14:textId="7265FC91">
      <w:pPr>
        <w:pStyle w:val="Heading1"/>
      </w:pPr>
      <w:bookmarkStart w:name="_Toc215583535" w:id="7"/>
      <w:r>
        <w:lastRenderedPageBreak/>
        <w:t>3</w:t>
      </w:r>
      <w:r>
        <w:tab/>
        <w:t>Resources</w:t>
      </w:r>
      <w:bookmarkEnd w:id="7"/>
    </w:p>
    <w:p w:rsidR="00AA5931" w:rsidP="00AA5931" w:rsidRDefault="00AA5931" w14:paraId="074C01F5" w14:textId="77777777">
      <w:pPr>
        <w:spacing w:after="0"/>
        <w:rPr>
          <w:rFonts w:ascii="Arial" w:hAnsi="Arial" w:cs="Arial"/>
          <w:b/>
          <w:bCs/>
        </w:rPr>
      </w:pPr>
    </w:p>
    <w:p w:rsidRPr="00C4723B" w:rsidR="00DF4462" w:rsidP="00075E99" w:rsidRDefault="00DF4462" w14:paraId="2706B87D" w14:textId="3B42A8A1">
      <w:pPr>
        <w:pStyle w:val="Heading2"/>
      </w:pPr>
      <w:bookmarkStart w:name="_Toc215583536" w:id="8"/>
      <w:r w:rsidRPr="00C4723B">
        <w:t>Staffing</w:t>
      </w:r>
      <w:bookmarkEnd w:id="8"/>
    </w:p>
    <w:p w:rsidR="00AA5931" w:rsidP="00AA5931" w:rsidRDefault="00AA5931" w14:paraId="6786535F" w14:textId="77777777">
      <w:pPr>
        <w:spacing w:after="0"/>
        <w:rPr>
          <w:rFonts w:ascii="Arial" w:hAnsi="Arial" w:cs="Arial"/>
        </w:rPr>
      </w:pPr>
    </w:p>
    <w:p w:rsidRPr="001013B8" w:rsidR="001068DF" w:rsidP="00AA5931" w:rsidRDefault="00F63EBD" w14:paraId="2ACA709B" w14:textId="09F3C2D6">
      <w:pPr>
        <w:spacing w:after="0"/>
        <w:rPr>
          <w:rFonts w:ascii="Arial" w:hAnsi="Arial" w:cs="Arial"/>
        </w:rPr>
      </w:pPr>
      <w:r>
        <w:rPr>
          <w:rFonts w:ascii="Arial" w:hAnsi="Arial" w:cs="Arial"/>
        </w:rPr>
        <w:t>This Plan will</w:t>
      </w:r>
      <w:r w:rsidR="00780B0A">
        <w:rPr>
          <w:rFonts w:ascii="Arial" w:hAnsi="Arial" w:cs="Arial"/>
        </w:rPr>
        <w:t xml:space="preserve"> be</w:t>
      </w:r>
      <w:r>
        <w:rPr>
          <w:rFonts w:ascii="Arial" w:hAnsi="Arial" w:cs="Arial"/>
        </w:rPr>
        <w:t xml:space="preserve"> delivered across three </w:t>
      </w:r>
      <w:r w:rsidR="00780B0A">
        <w:rPr>
          <w:rFonts w:ascii="Arial" w:hAnsi="Arial" w:cs="Arial"/>
        </w:rPr>
        <w:t>teams:</w:t>
      </w:r>
      <w:r>
        <w:rPr>
          <w:rFonts w:ascii="Arial" w:hAnsi="Arial" w:cs="Arial"/>
        </w:rPr>
        <w:t xml:space="preserve"> </w:t>
      </w:r>
      <w:r w:rsidR="00780B0A">
        <w:rPr>
          <w:rFonts w:ascii="Arial" w:hAnsi="Arial" w:cs="Arial"/>
        </w:rPr>
        <w:t xml:space="preserve">Housing Strategy, Rapid Rehousing and Housing Partnerships. </w:t>
      </w:r>
    </w:p>
    <w:p w:rsidR="00AA5931" w:rsidP="00AA5931" w:rsidRDefault="00AA5931" w14:paraId="5DADCC6E" w14:textId="77777777">
      <w:pPr>
        <w:spacing w:after="0"/>
        <w:rPr>
          <w:rFonts w:ascii="Arial" w:hAnsi="Arial" w:cs="Arial"/>
          <w:b/>
          <w:bCs/>
        </w:rPr>
      </w:pPr>
    </w:p>
    <w:p w:rsidR="00C2376C" w:rsidP="00075E99" w:rsidRDefault="00C2376C" w14:paraId="2767D5F6" w14:textId="56BCDA17">
      <w:pPr>
        <w:pStyle w:val="Heading2"/>
      </w:pPr>
      <w:bookmarkStart w:name="_Toc215583537" w:id="9"/>
      <w:r>
        <w:t xml:space="preserve">Council </w:t>
      </w:r>
      <w:r w:rsidR="004E2957">
        <w:t>L</w:t>
      </w:r>
      <w:r>
        <w:t>and</w:t>
      </w:r>
      <w:bookmarkEnd w:id="9"/>
    </w:p>
    <w:p w:rsidR="00AA5931" w:rsidP="00AA5931" w:rsidRDefault="00AA5931" w14:paraId="625FC1AD" w14:textId="77777777">
      <w:pPr>
        <w:spacing w:after="0"/>
        <w:rPr>
          <w:rFonts w:ascii="Arial" w:hAnsi="Arial" w:cs="Arial"/>
        </w:rPr>
      </w:pPr>
    </w:p>
    <w:p w:rsidR="00C579FE" w:rsidP="00AA5931" w:rsidRDefault="51CC2A10" w14:paraId="5B722E5C" w14:textId="162EC80D">
      <w:pPr>
        <w:spacing w:after="0"/>
        <w:rPr>
          <w:rFonts w:ascii="Arial" w:hAnsi="Arial" w:cs="Arial"/>
        </w:rPr>
      </w:pPr>
      <w:r w:rsidRPr="002C714A">
        <w:rPr>
          <w:rFonts w:ascii="Arial" w:hAnsi="Arial" w:cs="Arial"/>
        </w:rPr>
        <w:t>3</w:t>
      </w:r>
      <w:r w:rsidRPr="0E68B73C" w:rsidR="00C579FE">
        <w:rPr>
          <w:rFonts w:ascii="Arial" w:hAnsi="Arial" w:cs="Arial"/>
        </w:rPr>
        <w:t xml:space="preserve"> sites have been identified to come forward this financial year</w:t>
      </w:r>
      <w:r w:rsidR="00AD5A69">
        <w:rPr>
          <w:rFonts w:ascii="Arial" w:hAnsi="Arial" w:cs="Arial"/>
        </w:rPr>
        <w:t>.</w:t>
      </w:r>
    </w:p>
    <w:p w:rsidR="00AA5931" w:rsidP="00AA5931" w:rsidRDefault="00AA5931" w14:paraId="28329E44" w14:textId="77777777">
      <w:pPr>
        <w:spacing w:after="0"/>
        <w:rPr>
          <w:rFonts w:ascii="Arial" w:hAnsi="Arial" w:cs="Arial"/>
          <w:b/>
          <w:bCs/>
        </w:rPr>
      </w:pPr>
    </w:p>
    <w:p w:rsidR="00057F37" w:rsidP="00075E99" w:rsidRDefault="00057F37" w14:paraId="3E735D15" w14:textId="0E95E9AF">
      <w:pPr>
        <w:pStyle w:val="Heading2"/>
      </w:pPr>
      <w:bookmarkStart w:name="_Toc215583538" w:id="10"/>
      <w:r>
        <w:t>Welsh Government Leasing Scheme Wales</w:t>
      </w:r>
      <w:bookmarkEnd w:id="10"/>
    </w:p>
    <w:p w:rsidR="00AA5931" w:rsidP="00AA5931" w:rsidRDefault="00AA5931" w14:paraId="2AE53E43" w14:textId="77777777">
      <w:pPr>
        <w:spacing w:after="0"/>
        <w:rPr>
          <w:rFonts w:ascii="Arial" w:hAnsi="Arial" w:cs="Arial"/>
        </w:rPr>
      </w:pPr>
    </w:p>
    <w:p w:rsidR="00057F37" w:rsidP="00AA5931" w:rsidRDefault="00057F37" w14:paraId="5021C675" w14:textId="38EE5951">
      <w:pPr>
        <w:spacing w:after="0"/>
        <w:rPr>
          <w:rFonts w:ascii="Arial" w:hAnsi="Arial" w:cs="Arial"/>
          <w:b/>
          <w:bCs/>
        </w:rPr>
      </w:pPr>
      <w:r w:rsidRPr="0E68B73C">
        <w:rPr>
          <w:rFonts w:ascii="Arial" w:hAnsi="Arial" w:cs="Arial"/>
        </w:rPr>
        <w:t>£</w:t>
      </w:r>
      <w:r w:rsidRPr="0E68B73C" w:rsidR="2B7B2707">
        <w:rPr>
          <w:rFonts w:ascii="Arial" w:hAnsi="Arial" w:cs="Arial"/>
        </w:rPr>
        <w:t xml:space="preserve">185,000 grant </w:t>
      </w:r>
      <w:r w:rsidRPr="0E68B73C">
        <w:rPr>
          <w:rFonts w:ascii="Arial" w:hAnsi="Arial" w:cs="Arial"/>
        </w:rPr>
        <w:t xml:space="preserve">is allocated to </w:t>
      </w:r>
      <w:r w:rsidRPr="0E68B73C" w:rsidR="002E78EC">
        <w:rPr>
          <w:rFonts w:ascii="Arial" w:hAnsi="Arial" w:cs="Arial"/>
        </w:rPr>
        <w:t xml:space="preserve">secure </w:t>
      </w:r>
      <w:r w:rsidRPr="0E68B73C" w:rsidR="528E5BC0">
        <w:rPr>
          <w:rFonts w:ascii="Arial" w:hAnsi="Arial" w:cs="Arial"/>
        </w:rPr>
        <w:t>37</w:t>
      </w:r>
      <w:r w:rsidRPr="0E68B73C" w:rsidR="002E78EC">
        <w:rPr>
          <w:rFonts w:ascii="Arial" w:hAnsi="Arial" w:cs="Arial"/>
        </w:rPr>
        <w:t xml:space="preserve"> properties to the Leasing Scheme Wales portfolio.</w:t>
      </w:r>
    </w:p>
    <w:p w:rsidR="00AA5931" w:rsidP="00AA5931" w:rsidRDefault="00AA5931" w14:paraId="02E9E776" w14:textId="77777777">
      <w:pPr>
        <w:spacing w:after="0"/>
        <w:rPr>
          <w:rFonts w:ascii="Arial" w:hAnsi="Arial" w:cs="Arial"/>
          <w:b/>
          <w:bCs/>
        </w:rPr>
      </w:pPr>
    </w:p>
    <w:p w:rsidRPr="00F96040" w:rsidR="00B122E1" w:rsidP="00075E99" w:rsidRDefault="00B122E1" w14:paraId="24B6E1CA" w14:textId="0969EB5D">
      <w:pPr>
        <w:pStyle w:val="Heading2"/>
      </w:pPr>
      <w:bookmarkStart w:name="_Toc215583539" w:id="11"/>
      <w:r w:rsidRPr="00F96040">
        <w:t xml:space="preserve">Partnership </w:t>
      </w:r>
      <w:r w:rsidR="004E2957">
        <w:t>W</w:t>
      </w:r>
      <w:r w:rsidRPr="00F96040">
        <w:t>orking</w:t>
      </w:r>
      <w:bookmarkEnd w:id="11"/>
    </w:p>
    <w:p w:rsidR="00AA5931" w:rsidP="00AA5931" w:rsidRDefault="00AA5931" w14:paraId="4A6534B2" w14:textId="77777777">
      <w:pPr>
        <w:spacing w:after="0"/>
        <w:rPr>
          <w:rFonts w:ascii="Arial" w:hAnsi="Arial" w:cs="Arial"/>
        </w:rPr>
      </w:pPr>
    </w:p>
    <w:p w:rsidR="00B122E1" w:rsidP="00AA5931" w:rsidRDefault="00B122E1" w14:paraId="1700CF0A" w14:textId="626150CA">
      <w:pPr>
        <w:spacing w:after="0"/>
        <w:rPr>
          <w:rFonts w:ascii="Arial" w:hAnsi="Arial" w:cs="Arial"/>
        </w:rPr>
      </w:pPr>
      <w:r>
        <w:rPr>
          <w:rFonts w:ascii="Arial" w:hAnsi="Arial" w:cs="Arial"/>
        </w:rPr>
        <w:t>The delivery of the Plan is underpinned by a commitment to collaboration and innovation.</w:t>
      </w:r>
    </w:p>
    <w:p w:rsidRPr="00210756" w:rsidR="00DD70A5" w:rsidP="00AA5931" w:rsidRDefault="00DD70A5" w14:paraId="32C7C654" w14:textId="6718BC29">
      <w:pPr>
        <w:spacing w:after="0"/>
        <w:rPr>
          <w:rFonts w:ascii="Arial" w:hAnsi="Arial" w:cs="Arial"/>
        </w:rPr>
      </w:pPr>
      <w:r w:rsidRPr="00210756">
        <w:rPr>
          <w:rFonts w:ascii="Arial" w:hAnsi="Arial" w:cs="Arial"/>
        </w:rPr>
        <w:t xml:space="preserve">Registered Social Landlords will be supported to access Welsh Government capital funding to </w:t>
      </w:r>
      <w:r w:rsidRPr="00210756" w:rsidR="00686835">
        <w:rPr>
          <w:rFonts w:ascii="Arial" w:hAnsi="Arial" w:cs="Arial"/>
        </w:rPr>
        <w:t xml:space="preserve">refurbish existing stock, </w:t>
      </w:r>
      <w:r w:rsidRPr="00210756">
        <w:rPr>
          <w:rFonts w:ascii="Arial" w:hAnsi="Arial" w:cs="Arial"/>
        </w:rPr>
        <w:t>acquire and</w:t>
      </w:r>
      <w:r w:rsidRPr="00210756" w:rsidR="00686835">
        <w:rPr>
          <w:rFonts w:ascii="Arial" w:hAnsi="Arial" w:cs="Arial"/>
        </w:rPr>
        <w:t xml:space="preserve"> develop housing</w:t>
      </w:r>
      <w:r w:rsidRPr="00210756">
        <w:rPr>
          <w:rFonts w:ascii="Arial" w:hAnsi="Arial" w:cs="Arial"/>
        </w:rPr>
        <w:t xml:space="preserve"> for use as social housing to meet specific housing needs as identified in the Housing Prospectus </w:t>
      </w:r>
      <w:hyperlink w:history="1" r:id="rId10">
        <w:r w:rsidRPr="00210756">
          <w:rPr>
            <w:rStyle w:val="Hyperlink"/>
            <w:rFonts w:ascii="Arial" w:hAnsi="Arial" w:cs="Arial"/>
            <w:b/>
            <w:bCs/>
            <w:i/>
            <w:iCs/>
            <w:color w:val="1BAF90"/>
          </w:rPr>
          <w:t>Conwy-Local-Housing-Prospectus-April-2025</w:t>
        </w:r>
      </w:hyperlink>
      <w:r w:rsidR="00210756">
        <w:rPr>
          <w:rFonts w:ascii="Arial" w:hAnsi="Arial" w:cs="Arial"/>
        </w:rPr>
        <w:t>.</w:t>
      </w:r>
    </w:p>
    <w:p w:rsidR="00AA5931" w:rsidP="00AA5931" w:rsidRDefault="00AA5931" w14:paraId="41315FF1" w14:textId="77777777">
      <w:pPr>
        <w:spacing w:after="0"/>
        <w:rPr>
          <w:rFonts w:ascii="Arial" w:hAnsi="Arial" w:cs="Arial"/>
          <w:b/>
          <w:bCs/>
        </w:rPr>
      </w:pPr>
    </w:p>
    <w:p w:rsidR="001068DF" w:rsidP="00075E99" w:rsidRDefault="001068DF" w14:paraId="6BF66372" w14:textId="27A35CF1">
      <w:pPr>
        <w:pStyle w:val="Heading1"/>
      </w:pPr>
      <w:bookmarkStart w:name="_Toc215583540" w:id="12"/>
      <w:r>
        <w:t>4</w:t>
      </w:r>
      <w:r>
        <w:tab/>
        <w:t>Monitoring Success</w:t>
      </w:r>
      <w:bookmarkEnd w:id="12"/>
    </w:p>
    <w:p w:rsidR="00AA5931" w:rsidP="00AA5931" w:rsidRDefault="00AA5931" w14:paraId="46F1636B" w14:textId="77777777">
      <w:pPr>
        <w:spacing w:after="0"/>
        <w:rPr>
          <w:rFonts w:ascii="Arial" w:hAnsi="Arial" w:cs="Arial"/>
        </w:rPr>
      </w:pPr>
    </w:p>
    <w:p w:rsidR="004206F4" w:rsidP="00AA5931" w:rsidRDefault="004206F4" w14:paraId="566DAD2A" w14:textId="1E3A8AF4">
      <w:pPr>
        <w:spacing w:after="0"/>
        <w:rPr>
          <w:rFonts w:ascii="Arial" w:hAnsi="Arial" w:cs="Arial"/>
        </w:rPr>
      </w:pPr>
      <w:r>
        <w:rPr>
          <w:rFonts w:ascii="Arial" w:hAnsi="Arial" w:cs="Arial"/>
        </w:rPr>
        <w:t>The success of the Plan will be measured through a combination of quantitative and qualitative indicators, aligned with the Welsh Government priorities and CCBC’s strategic objectives noted in section two.</w:t>
      </w:r>
    </w:p>
    <w:p w:rsidR="00AA5931" w:rsidP="00AA5931" w:rsidRDefault="00AA5931" w14:paraId="063CFC5E" w14:textId="77777777">
      <w:pPr>
        <w:spacing w:after="0"/>
        <w:rPr>
          <w:rFonts w:ascii="Arial" w:hAnsi="Arial" w:cs="Arial"/>
          <w:b/>
          <w:bCs/>
        </w:rPr>
      </w:pPr>
    </w:p>
    <w:p w:rsidRPr="00482278" w:rsidR="004206F4" w:rsidP="00075E99" w:rsidRDefault="004206F4" w14:paraId="4898F5EE" w14:textId="357FE33A">
      <w:pPr>
        <w:pStyle w:val="Heading2"/>
      </w:pPr>
      <w:bookmarkStart w:name="_Toc215583541" w:id="13"/>
      <w:r w:rsidRPr="00482278">
        <w:t>Key Performance Indicators (KPIs)</w:t>
      </w:r>
      <w:bookmarkEnd w:id="13"/>
    </w:p>
    <w:p w:rsidR="00AA5931" w:rsidP="00AA5931" w:rsidRDefault="00AA5931" w14:paraId="5FA075E8" w14:textId="77777777">
      <w:pPr>
        <w:spacing w:after="0"/>
        <w:rPr>
          <w:rFonts w:ascii="Arial" w:hAnsi="Arial" w:cs="Arial"/>
        </w:rPr>
      </w:pPr>
    </w:p>
    <w:p w:rsidR="004206F4" w:rsidP="00AA5931" w:rsidRDefault="004206F4" w14:paraId="2F1F84DA" w14:textId="6CAA62E2">
      <w:pPr>
        <w:spacing w:after="0"/>
        <w:rPr>
          <w:rFonts w:ascii="Arial" w:hAnsi="Arial" w:cs="Arial"/>
        </w:rPr>
      </w:pPr>
      <w:r>
        <w:rPr>
          <w:rFonts w:ascii="Arial" w:hAnsi="Arial" w:cs="Arial"/>
        </w:rPr>
        <w:t>Progress will be monitored against the following KPIs:</w:t>
      </w:r>
    </w:p>
    <w:p w:rsidR="00AA5931" w:rsidP="00AA5931" w:rsidRDefault="00AA5931" w14:paraId="630C3B7C" w14:textId="77777777">
      <w:pPr>
        <w:spacing w:after="0"/>
        <w:rPr>
          <w:rFonts w:ascii="Arial" w:hAnsi="Arial" w:cs="Arial"/>
        </w:rPr>
      </w:pPr>
    </w:p>
    <w:p w:rsidR="004206F4" w:rsidP="00AA5931" w:rsidRDefault="00351BCA" w14:paraId="67386D6B" w14:textId="748FE915">
      <w:pPr>
        <w:pStyle w:val="ListParagraph"/>
        <w:numPr>
          <w:ilvl w:val="0"/>
          <w:numId w:val="5"/>
        </w:numPr>
        <w:spacing w:after="0"/>
        <w:rPr>
          <w:rFonts w:ascii="Arial" w:hAnsi="Arial" w:cs="Arial"/>
        </w:rPr>
      </w:pPr>
      <w:r>
        <w:rPr>
          <w:rFonts w:ascii="Arial" w:hAnsi="Arial" w:cs="Arial"/>
        </w:rPr>
        <w:t>Social Housing Grant claim</w:t>
      </w:r>
      <w:r w:rsidR="005711CF">
        <w:rPr>
          <w:rFonts w:ascii="Arial" w:hAnsi="Arial" w:cs="Arial"/>
        </w:rPr>
        <w:t xml:space="preserve"> </w:t>
      </w:r>
    </w:p>
    <w:p w:rsidR="004206F4" w:rsidP="00AA5931" w:rsidRDefault="004206F4" w14:paraId="7ACA93FC" w14:textId="7C338070">
      <w:pPr>
        <w:pStyle w:val="ListParagraph"/>
        <w:numPr>
          <w:ilvl w:val="1"/>
          <w:numId w:val="5"/>
        </w:numPr>
        <w:spacing w:after="0"/>
        <w:rPr>
          <w:rFonts w:ascii="Arial" w:hAnsi="Arial" w:cs="Arial"/>
        </w:rPr>
      </w:pPr>
      <w:r w:rsidRPr="7E8F9657">
        <w:rPr>
          <w:rFonts w:ascii="Arial" w:hAnsi="Arial" w:cs="Arial"/>
        </w:rPr>
        <w:t xml:space="preserve">Target: </w:t>
      </w:r>
      <w:r w:rsidRPr="7E8F9657" w:rsidR="00351BCA">
        <w:rPr>
          <w:rFonts w:ascii="Arial" w:hAnsi="Arial" w:cs="Arial"/>
        </w:rPr>
        <w:t xml:space="preserve">full spend of </w:t>
      </w:r>
      <w:r w:rsidRPr="7E8F9657" w:rsidR="00422518">
        <w:rPr>
          <w:rFonts w:ascii="Arial" w:hAnsi="Arial" w:cs="Arial"/>
        </w:rPr>
        <w:t>allocation</w:t>
      </w:r>
    </w:p>
    <w:p w:rsidR="00AD7C92" w:rsidP="00AA5931" w:rsidRDefault="00AD7C92" w14:paraId="3DC978F7" w14:textId="124C5449">
      <w:pPr>
        <w:pStyle w:val="ListParagraph"/>
        <w:numPr>
          <w:ilvl w:val="0"/>
          <w:numId w:val="5"/>
        </w:numPr>
        <w:spacing w:after="0"/>
        <w:rPr>
          <w:rFonts w:ascii="Arial" w:hAnsi="Arial" w:cs="Arial"/>
        </w:rPr>
      </w:pPr>
      <w:r>
        <w:rPr>
          <w:rFonts w:ascii="Arial" w:hAnsi="Arial" w:cs="Arial"/>
        </w:rPr>
        <w:t xml:space="preserve">TACP Grant claim </w:t>
      </w:r>
    </w:p>
    <w:p w:rsidR="00AD7C92" w:rsidP="00AA5931" w:rsidRDefault="00AD7C92" w14:paraId="75327D36" w14:textId="77777777">
      <w:pPr>
        <w:pStyle w:val="ListParagraph"/>
        <w:numPr>
          <w:ilvl w:val="1"/>
          <w:numId w:val="5"/>
        </w:numPr>
        <w:spacing w:after="0"/>
        <w:rPr>
          <w:rFonts w:ascii="Arial" w:hAnsi="Arial" w:cs="Arial"/>
        </w:rPr>
      </w:pPr>
      <w:r>
        <w:rPr>
          <w:rFonts w:ascii="Arial" w:hAnsi="Arial" w:cs="Arial"/>
        </w:rPr>
        <w:t>Target: full spend of allocation</w:t>
      </w:r>
    </w:p>
    <w:p w:rsidR="00AD7C92" w:rsidP="00AA5931" w:rsidRDefault="00AD7C92" w14:paraId="2CFA6685" w14:textId="51F997C4">
      <w:pPr>
        <w:pStyle w:val="ListParagraph"/>
        <w:numPr>
          <w:ilvl w:val="1"/>
          <w:numId w:val="5"/>
        </w:numPr>
        <w:spacing w:after="0"/>
        <w:rPr>
          <w:rFonts w:ascii="Arial" w:hAnsi="Arial" w:cs="Arial"/>
        </w:rPr>
      </w:pPr>
      <w:r w:rsidRPr="7E8F9657">
        <w:rPr>
          <w:rFonts w:ascii="Arial" w:hAnsi="Arial" w:cs="Arial"/>
        </w:rPr>
        <w:t>Target: Successful application for slippage</w:t>
      </w:r>
    </w:p>
    <w:p w:rsidR="7327B3FC" w:rsidP="00AA5931" w:rsidRDefault="7327B3FC" w14:paraId="3FD53AB3" w14:textId="07020E30">
      <w:pPr>
        <w:pStyle w:val="ListParagraph"/>
        <w:numPr>
          <w:ilvl w:val="0"/>
          <w:numId w:val="5"/>
        </w:numPr>
        <w:spacing w:after="0"/>
        <w:rPr>
          <w:rFonts w:ascii="Arial" w:hAnsi="Arial" w:cs="Arial"/>
        </w:rPr>
      </w:pPr>
      <w:r w:rsidRPr="7E8F9657">
        <w:rPr>
          <w:rFonts w:ascii="Arial" w:hAnsi="Arial" w:cs="Arial"/>
        </w:rPr>
        <w:t>Successful application for additional grant funding</w:t>
      </w:r>
    </w:p>
    <w:p w:rsidR="00AD7C92" w:rsidP="00AA5931" w:rsidRDefault="00AD7C92" w14:paraId="50463E12" w14:textId="74EA6355">
      <w:pPr>
        <w:pStyle w:val="ListParagraph"/>
        <w:numPr>
          <w:ilvl w:val="0"/>
          <w:numId w:val="5"/>
        </w:numPr>
        <w:spacing w:after="0"/>
        <w:rPr>
          <w:rFonts w:ascii="Arial" w:hAnsi="Arial" w:cs="Arial"/>
        </w:rPr>
      </w:pPr>
      <w:r>
        <w:rPr>
          <w:rFonts w:ascii="Arial" w:hAnsi="Arial" w:cs="Arial"/>
        </w:rPr>
        <w:t xml:space="preserve">Leasing Scheme Wales Grant claim </w:t>
      </w:r>
    </w:p>
    <w:p w:rsidR="00AD7C92" w:rsidP="00AA5931" w:rsidRDefault="00AD7C92" w14:paraId="31C809C3" w14:textId="55CB8CFE">
      <w:pPr>
        <w:pStyle w:val="ListParagraph"/>
        <w:numPr>
          <w:ilvl w:val="1"/>
          <w:numId w:val="5"/>
        </w:numPr>
        <w:spacing w:after="0"/>
        <w:rPr>
          <w:rFonts w:ascii="Arial" w:hAnsi="Arial" w:cs="Arial"/>
        </w:rPr>
      </w:pPr>
      <w:r w:rsidRPr="0E68B73C">
        <w:rPr>
          <w:rFonts w:ascii="Arial" w:hAnsi="Arial" w:cs="Arial"/>
        </w:rPr>
        <w:t xml:space="preserve">Target: </w:t>
      </w:r>
      <w:r w:rsidRPr="0E68B73C" w:rsidR="1CEAABE8">
        <w:rPr>
          <w:rFonts w:ascii="Arial" w:hAnsi="Arial" w:cs="Arial"/>
        </w:rPr>
        <w:t xml:space="preserve">37 properties </w:t>
      </w:r>
    </w:p>
    <w:p w:rsidR="00AD7C92" w:rsidP="00AA5931" w:rsidRDefault="00AD7C92" w14:paraId="622B53C8" w14:textId="50857A0A">
      <w:pPr>
        <w:pStyle w:val="ListParagraph"/>
        <w:numPr>
          <w:ilvl w:val="1"/>
          <w:numId w:val="5"/>
        </w:numPr>
        <w:spacing w:after="0"/>
        <w:rPr>
          <w:rFonts w:ascii="Arial" w:hAnsi="Arial" w:cs="Arial"/>
        </w:rPr>
      </w:pPr>
      <w:r>
        <w:rPr>
          <w:rFonts w:ascii="Arial" w:hAnsi="Arial" w:cs="Arial"/>
        </w:rPr>
        <w:t>Target: Successful application for slippage</w:t>
      </w:r>
    </w:p>
    <w:p w:rsidR="005A150E" w:rsidP="00AA5931" w:rsidRDefault="005A150E" w14:paraId="3E27B8E6" w14:textId="115012F3">
      <w:pPr>
        <w:pStyle w:val="ListParagraph"/>
        <w:numPr>
          <w:ilvl w:val="0"/>
          <w:numId w:val="5"/>
        </w:numPr>
        <w:spacing w:after="0"/>
        <w:rPr>
          <w:rFonts w:ascii="Arial" w:hAnsi="Arial" w:cs="Arial"/>
        </w:rPr>
      </w:pPr>
      <w:r>
        <w:rPr>
          <w:rFonts w:ascii="Arial" w:hAnsi="Arial" w:cs="Arial"/>
        </w:rPr>
        <w:t>Increase supply of affordable housing</w:t>
      </w:r>
      <w:r w:rsidR="00252813">
        <w:rPr>
          <w:rFonts w:ascii="Arial" w:hAnsi="Arial" w:cs="Arial"/>
        </w:rPr>
        <w:t xml:space="preserve"> through Welsh Government grant schemes</w:t>
      </w:r>
    </w:p>
    <w:p w:rsidRPr="002C714A" w:rsidR="005A150E" w:rsidP="00AA5931" w:rsidRDefault="00252813" w14:paraId="28DB6205" w14:textId="206A167B">
      <w:pPr>
        <w:pStyle w:val="ListParagraph"/>
        <w:numPr>
          <w:ilvl w:val="1"/>
          <w:numId w:val="5"/>
        </w:numPr>
        <w:spacing w:after="0"/>
        <w:rPr>
          <w:rFonts w:ascii="Arial" w:hAnsi="Arial" w:cs="Arial"/>
        </w:rPr>
      </w:pPr>
      <w:r w:rsidRPr="0E68B73C">
        <w:rPr>
          <w:rFonts w:ascii="Arial" w:hAnsi="Arial" w:cs="Arial"/>
        </w:rPr>
        <w:t>Target</w:t>
      </w:r>
      <w:r w:rsidRPr="0E68B73C" w:rsidR="005A150E">
        <w:rPr>
          <w:rFonts w:ascii="Arial" w:hAnsi="Arial" w:cs="Arial"/>
        </w:rPr>
        <w:t xml:space="preserve">: </w:t>
      </w:r>
      <w:r w:rsidRPr="002C714A" w:rsidR="5A587A74">
        <w:rPr>
          <w:rFonts w:ascii="Arial" w:hAnsi="Arial" w:cs="Arial"/>
        </w:rPr>
        <w:t>173</w:t>
      </w:r>
      <w:r w:rsidRPr="002C714A" w:rsidR="005A150E">
        <w:rPr>
          <w:rFonts w:ascii="Arial" w:hAnsi="Arial" w:cs="Arial"/>
        </w:rPr>
        <w:t xml:space="preserve"> social housing units</w:t>
      </w:r>
    </w:p>
    <w:p w:rsidRPr="002C714A" w:rsidR="00252813" w:rsidP="00AA5931" w:rsidRDefault="00252813" w14:paraId="2E347B8B" w14:textId="7CECC7E8">
      <w:pPr>
        <w:pStyle w:val="ListParagraph"/>
        <w:numPr>
          <w:ilvl w:val="1"/>
          <w:numId w:val="5"/>
        </w:numPr>
        <w:spacing w:after="0"/>
        <w:rPr>
          <w:rFonts w:ascii="Arial" w:hAnsi="Arial" w:cs="Arial"/>
        </w:rPr>
      </w:pPr>
      <w:r w:rsidRPr="002C714A">
        <w:rPr>
          <w:rFonts w:ascii="Arial" w:hAnsi="Arial" w:cs="Arial"/>
        </w:rPr>
        <w:t xml:space="preserve">Target: </w:t>
      </w:r>
      <w:r w:rsidRPr="002C714A" w:rsidR="1E5B2E14">
        <w:rPr>
          <w:rFonts w:ascii="Arial" w:hAnsi="Arial" w:cs="Arial"/>
        </w:rPr>
        <w:t>9</w:t>
      </w:r>
      <w:r w:rsidRPr="002C714A">
        <w:rPr>
          <w:rFonts w:ascii="Arial" w:hAnsi="Arial" w:cs="Arial"/>
        </w:rPr>
        <w:t xml:space="preserve"> intermediate housing units</w:t>
      </w:r>
    </w:p>
    <w:p w:rsidRPr="002C714A" w:rsidR="00252813" w:rsidP="00AA5931" w:rsidRDefault="00252813" w14:paraId="0E561F44" w14:textId="6FE75F68">
      <w:pPr>
        <w:pStyle w:val="ListParagraph"/>
        <w:numPr>
          <w:ilvl w:val="1"/>
          <w:numId w:val="5"/>
        </w:numPr>
        <w:spacing w:after="0"/>
        <w:rPr>
          <w:rFonts w:ascii="Arial" w:hAnsi="Arial" w:cs="Arial"/>
        </w:rPr>
      </w:pPr>
      <w:r w:rsidRPr="002C714A">
        <w:rPr>
          <w:rFonts w:ascii="Arial" w:hAnsi="Arial" w:cs="Arial"/>
        </w:rPr>
        <w:t xml:space="preserve">Target: </w:t>
      </w:r>
      <w:r w:rsidRPr="002C714A" w:rsidR="51AEB742">
        <w:rPr>
          <w:rFonts w:ascii="Arial" w:hAnsi="Arial" w:cs="Arial"/>
        </w:rPr>
        <w:t xml:space="preserve">37 </w:t>
      </w:r>
      <w:r w:rsidRPr="002C714A">
        <w:rPr>
          <w:rFonts w:ascii="Arial" w:hAnsi="Arial" w:cs="Arial"/>
        </w:rPr>
        <w:t>private sector leasing scheme units</w:t>
      </w:r>
    </w:p>
    <w:p w:rsidRPr="002C714A" w:rsidR="00AB01BF" w:rsidP="00AA5931" w:rsidRDefault="00AB01BF" w14:paraId="68128B64" w14:textId="047B46D0">
      <w:pPr>
        <w:pStyle w:val="ListParagraph"/>
        <w:numPr>
          <w:ilvl w:val="0"/>
          <w:numId w:val="5"/>
        </w:numPr>
        <w:spacing w:after="0"/>
        <w:rPr>
          <w:rFonts w:ascii="Arial" w:hAnsi="Arial" w:cs="Arial"/>
        </w:rPr>
      </w:pPr>
      <w:r w:rsidRPr="002C714A">
        <w:rPr>
          <w:rFonts w:ascii="Arial" w:hAnsi="Arial" w:cs="Arial"/>
        </w:rPr>
        <w:t>Compliance with the social housing allocation policy</w:t>
      </w:r>
    </w:p>
    <w:p w:rsidRPr="002C714A" w:rsidR="00AB01BF" w:rsidP="00AA5931" w:rsidRDefault="00AB01BF" w14:paraId="2A7A796F" w14:textId="66AFC9F9">
      <w:pPr>
        <w:pStyle w:val="ListParagraph"/>
        <w:numPr>
          <w:ilvl w:val="1"/>
          <w:numId w:val="5"/>
        </w:numPr>
        <w:spacing w:after="0"/>
        <w:rPr>
          <w:rFonts w:ascii="Arial" w:hAnsi="Arial" w:cs="Arial"/>
        </w:rPr>
      </w:pPr>
      <w:r w:rsidRPr="002C714A">
        <w:rPr>
          <w:rFonts w:ascii="Arial" w:hAnsi="Arial" w:cs="Arial"/>
        </w:rPr>
        <w:t>Target:</w:t>
      </w:r>
      <w:r w:rsidRPr="002C714A" w:rsidR="56E17764">
        <w:rPr>
          <w:rFonts w:ascii="Arial" w:hAnsi="Arial" w:cs="Arial"/>
        </w:rPr>
        <w:t xml:space="preserve"> 100%</w:t>
      </w:r>
      <w:r w:rsidRPr="002C714A">
        <w:rPr>
          <w:rFonts w:ascii="Arial" w:hAnsi="Arial" w:cs="Arial"/>
        </w:rPr>
        <w:t xml:space="preserve"> </w:t>
      </w:r>
      <w:r w:rsidRPr="002C714A" w:rsidR="00D73DC0">
        <w:rPr>
          <w:rFonts w:ascii="Arial" w:hAnsi="Arial" w:cs="Arial"/>
        </w:rPr>
        <w:t>of allocations made in line with the policy across all partner organisations</w:t>
      </w:r>
    </w:p>
    <w:p w:rsidRPr="002C714A" w:rsidR="00AB01BF" w:rsidP="00AA5931" w:rsidRDefault="00AB01BF" w14:paraId="379165B3" w14:textId="38323A02">
      <w:pPr>
        <w:pStyle w:val="ListParagraph"/>
        <w:numPr>
          <w:ilvl w:val="1"/>
          <w:numId w:val="5"/>
        </w:numPr>
        <w:spacing w:after="0"/>
        <w:rPr>
          <w:rFonts w:ascii="Arial" w:hAnsi="Arial" w:cs="Arial"/>
        </w:rPr>
      </w:pPr>
      <w:r w:rsidRPr="002C714A">
        <w:rPr>
          <w:rFonts w:ascii="Arial" w:hAnsi="Arial" w:cs="Arial"/>
        </w:rPr>
        <w:t xml:space="preserve">Target: </w:t>
      </w:r>
      <w:r w:rsidRPr="002C714A" w:rsidR="16DA67E1">
        <w:rPr>
          <w:rFonts w:ascii="Arial" w:hAnsi="Arial" w:cs="Arial"/>
        </w:rPr>
        <w:t>10</w:t>
      </w:r>
      <w:r w:rsidRPr="002C714A" w:rsidR="00090FEE">
        <w:rPr>
          <w:rFonts w:ascii="Arial" w:hAnsi="Arial" w:cs="Arial"/>
        </w:rPr>
        <w:t>% reduction in band 1</w:t>
      </w:r>
      <w:r w:rsidRPr="002C714A" w:rsidR="30CDFD26">
        <w:rPr>
          <w:rFonts w:ascii="Arial" w:hAnsi="Arial" w:cs="Arial"/>
        </w:rPr>
        <w:t xml:space="preserve"> </w:t>
      </w:r>
    </w:p>
    <w:p w:rsidRPr="0040702E" w:rsidR="004206F4" w:rsidP="00AA5931" w:rsidRDefault="0013219C" w14:paraId="7946EF9E" w14:textId="54E253FB">
      <w:pPr>
        <w:pStyle w:val="ListParagraph"/>
        <w:numPr>
          <w:ilvl w:val="1"/>
          <w:numId w:val="5"/>
        </w:numPr>
        <w:spacing w:after="0"/>
        <w:rPr>
          <w:rFonts w:ascii="Arial" w:hAnsi="Arial" w:cs="Arial"/>
        </w:rPr>
      </w:pPr>
      <w:r w:rsidRPr="002C714A">
        <w:rPr>
          <w:rFonts w:ascii="Arial" w:hAnsi="Arial" w:cs="Arial"/>
        </w:rPr>
        <w:lastRenderedPageBreak/>
        <w:t xml:space="preserve">Target: </w:t>
      </w:r>
      <w:r w:rsidRPr="002C714A" w:rsidR="5726E454">
        <w:rPr>
          <w:rFonts w:ascii="Arial" w:hAnsi="Arial" w:cs="Arial"/>
        </w:rPr>
        <w:t>10</w:t>
      </w:r>
      <w:r w:rsidRPr="002C714A">
        <w:rPr>
          <w:rFonts w:ascii="Arial" w:hAnsi="Arial" w:cs="Arial"/>
        </w:rPr>
        <w:t>%</w:t>
      </w:r>
      <w:r w:rsidRPr="0E68B73C">
        <w:rPr>
          <w:rFonts w:ascii="Arial" w:hAnsi="Arial" w:cs="Arial"/>
        </w:rPr>
        <w:t xml:space="preserve"> reduction in households on the housing waiting list</w:t>
      </w:r>
      <w:r w:rsidR="00210756">
        <w:rPr>
          <w:rFonts w:ascii="Arial" w:hAnsi="Arial" w:cs="Arial"/>
        </w:rPr>
        <w:t>.</w:t>
      </w:r>
    </w:p>
    <w:p w:rsidR="00AA5931" w:rsidP="00AA5931" w:rsidRDefault="00AA5931" w14:paraId="72AF4CC5" w14:textId="77777777">
      <w:pPr>
        <w:spacing w:after="0"/>
        <w:rPr>
          <w:rFonts w:ascii="Arial" w:hAnsi="Arial" w:cs="Arial"/>
        </w:rPr>
      </w:pPr>
    </w:p>
    <w:p w:rsidR="004206F4" w:rsidP="00AA5931" w:rsidRDefault="004206F4" w14:paraId="31637297" w14:textId="6752E886">
      <w:pPr>
        <w:spacing w:after="0"/>
        <w:rPr>
          <w:rFonts w:ascii="Arial" w:hAnsi="Arial" w:cs="Arial"/>
        </w:rPr>
      </w:pPr>
      <w:r>
        <w:rPr>
          <w:rFonts w:ascii="Arial" w:hAnsi="Arial" w:cs="Arial"/>
        </w:rPr>
        <w:t>KPIs will be used to benchmark performance against other local authorities and previous performance in Conwy.</w:t>
      </w:r>
    </w:p>
    <w:p w:rsidR="00AA5931" w:rsidP="00AA5931" w:rsidRDefault="00AA5931" w14:paraId="729265E6" w14:textId="77777777">
      <w:pPr>
        <w:spacing w:after="0"/>
        <w:rPr>
          <w:rFonts w:ascii="Arial" w:hAnsi="Arial" w:cs="Arial"/>
          <w:b/>
          <w:bCs/>
        </w:rPr>
      </w:pPr>
    </w:p>
    <w:p w:rsidRPr="00A6165D" w:rsidR="00801104" w:rsidP="00075E99" w:rsidRDefault="00801104" w14:paraId="16A4D473" w14:textId="4A211794">
      <w:pPr>
        <w:pStyle w:val="Heading2"/>
      </w:pPr>
      <w:bookmarkStart w:name="_Toc215583542" w:id="14"/>
      <w:r>
        <w:t>Partnership Working</w:t>
      </w:r>
      <w:bookmarkEnd w:id="14"/>
    </w:p>
    <w:p w:rsidR="00AA5931" w:rsidP="00AA5931" w:rsidRDefault="00AA5931" w14:paraId="6A4F9AE9" w14:textId="77777777">
      <w:pPr>
        <w:spacing w:after="0"/>
        <w:rPr>
          <w:rFonts w:ascii="Arial" w:hAnsi="Arial" w:cs="Arial"/>
        </w:rPr>
      </w:pPr>
    </w:p>
    <w:p w:rsidR="00801104" w:rsidP="00AA5931" w:rsidRDefault="00801104" w14:paraId="4C76F25A" w14:textId="755C204A">
      <w:pPr>
        <w:spacing w:after="0"/>
        <w:rPr>
          <w:rFonts w:ascii="Arial" w:hAnsi="Arial" w:cs="Arial"/>
        </w:rPr>
      </w:pPr>
      <w:r>
        <w:rPr>
          <w:rFonts w:ascii="Arial" w:hAnsi="Arial" w:cs="Arial"/>
        </w:rPr>
        <w:t>Effective collaboration is central to the Plan’s delivery.</w:t>
      </w:r>
      <w:r w:rsidRPr="00777CAC">
        <w:rPr>
          <w:rFonts w:ascii="Arial" w:hAnsi="Arial" w:cs="Arial"/>
        </w:rPr>
        <w:t xml:space="preserve"> </w:t>
      </w:r>
      <w:r>
        <w:rPr>
          <w:rFonts w:ascii="Arial" w:hAnsi="Arial" w:cs="Arial"/>
        </w:rPr>
        <w:t>Success will be measured by:</w:t>
      </w:r>
    </w:p>
    <w:p w:rsidR="00AA5931" w:rsidP="00AA5931" w:rsidRDefault="00AA5931" w14:paraId="3897E421" w14:textId="77777777">
      <w:pPr>
        <w:spacing w:after="0"/>
        <w:rPr>
          <w:rFonts w:ascii="Arial" w:hAnsi="Arial" w:cs="Arial"/>
        </w:rPr>
      </w:pPr>
    </w:p>
    <w:p w:rsidR="00801104" w:rsidP="00AA5931" w:rsidRDefault="00801104" w14:paraId="0A3C57D7" w14:textId="77777777">
      <w:pPr>
        <w:pStyle w:val="ListParagraph"/>
        <w:numPr>
          <w:ilvl w:val="0"/>
          <w:numId w:val="7"/>
        </w:numPr>
        <w:spacing w:after="0"/>
        <w:rPr>
          <w:rFonts w:ascii="Arial" w:hAnsi="Arial" w:cs="Arial"/>
        </w:rPr>
      </w:pPr>
      <w:r>
        <w:rPr>
          <w:rFonts w:ascii="Arial" w:hAnsi="Arial" w:cs="Arial"/>
        </w:rPr>
        <w:t>The number of active partnerships</w:t>
      </w:r>
    </w:p>
    <w:p w:rsidR="00801104" w:rsidP="00AA5931" w:rsidRDefault="00801104" w14:paraId="48029139" w14:textId="77777777">
      <w:pPr>
        <w:pStyle w:val="ListParagraph"/>
        <w:numPr>
          <w:ilvl w:val="0"/>
          <w:numId w:val="7"/>
        </w:numPr>
        <w:spacing w:after="0"/>
        <w:rPr>
          <w:rFonts w:ascii="Arial" w:hAnsi="Arial" w:cs="Arial"/>
        </w:rPr>
      </w:pPr>
      <w:r>
        <w:rPr>
          <w:rFonts w:ascii="Arial" w:hAnsi="Arial" w:cs="Arial"/>
        </w:rPr>
        <w:t>The impact of the partnership working</w:t>
      </w:r>
    </w:p>
    <w:p w:rsidRPr="00DF7711" w:rsidR="00801104" w:rsidP="00AA5931" w:rsidRDefault="00801104" w14:paraId="258A0170" w14:textId="75518EDB">
      <w:pPr>
        <w:pStyle w:val="ListParagraph"/>
        <w:numPr>
          <w:ilvl w:val="0"/>
          <w:numId w:val="7"/>
        </w:numPr>
        <w:spacing w:after="0"/>
        <w:rPr>
          <w:rFonts w:ascii="Arial" w:hAnsi="Arial" w:cs="Arial"/>
          <w:b/>
          <w:bCs/>
        </w:rPr>
      </w:pPr>
      <w:r w:rsidRPr="00A327D7">
        <w:rPr>
          <w:rFonts w:ascii="Arial" w:hAnsi="Arial" w:cs="Arial"/>
        </w:rPr>
        <w:t>Any lessons learnt</w:t>
      </w:r>
      <w:r w:rsidR="00210756">
        <w:rPr>
          <w:rFonts w:ascii="Arial" w:hAnsi="Arial" w:cs="Arial"/>
        </w:rPr>
        <w:t>.</w:t>
      </w:r>
    </w:p>
    <w:p w:rsidR="00AA5931" w:rsidP="00AA5931" w:rsidRDefault="00AA5931" w14:paraId="42E29F1F" w14:textId="77777777">
      <w:pPr>
        <w:spacing w:after="0"/>
        <w:rPr>
          <w:rFonts w:ascii="Arial" w:hAnsi="Arial" w:cs="Arial"/>
          <w:b/>
          <w:bCs/>
        </w:rPr>
      </w:pPr>
    </w:p>
    <w:p w:rsidR="00DF7711" w:rsidP="00075E99" w:rsidRDefault="00DF7711" w14:paraId="7F7473A8" w14:textId="36179CAE">
      <w:pPr>
        <w:pStyle w:val="Heading2"/>
      </w:pPr>
      <w:bookmarkStart w:name="_Toc215583543" w:id="15"/>
      <w:r>
        <w:t>Communication</w:t>
      </w:r>
      <w:bookmarkEnd w:id="15"/>
    </w:p>
    <w:p w:rsidR="00AA5931" w:rsidP="00AA5931" w:rsidRDefault="00AA5931" w14:paraId="7AB7D239" w14:textId="77777777">
      <w:pPr>
        <w:spacing w:after="0"/>
        <w:rPr>
          <w:rFonts w:ascii="Arial" w:hAnsi="Arial" w:cs="Arial"/>
        </w:rPr>
      </w:pPr>
    </w:p>
    <w:p w:rsidR="00DF7711" w:rsidP="00AA5931" w:rsidRDefault="00DF7711" w14:paraId="3185E7F2" w14:textId="0AFF2EEC">
      <w:pPr>
        <w:spacing w:after="0"/>
        <w:rPr>
          <w:rFonts w:ascii="Arial" w:hAnsi="Arial" w:cs="Arial"/>
        </w:rPr>
      </w:pPr>
      <w:r>
        <w:rPr>
          <w:rFonts w:ascii="Arial" w:hAnsi="Arial" w:cs="Arial"/>
        </w:rPr>
        <w:t>Data will be captured to evaluate the accessibility of the service and will consider the digital and direct engagement.</w:t>
      </w:r>
    </w:p>
    <w:p w:rsidR="00AA5931" w:rsidP="00AA5931" w:rsidRDefault="00AA5931" w14:paraId="5FEBA246" w14:textId="77777777">
      <w:pPr>
        <w:spacing w:after="0"/>
        <w:rPr>
          <w:rFonts w:ascii="Arial" w:hAnsi="Arial" w:cs="Arial"/>
        </w:rPr>
      </w:pPr>
    </w:p>
    <w:p w:rsidRPr="00A60DB7" w:rsidR="00DF7711" w:rsidP="00AA5931" w:rsidRDefault="00DF7711" w14:paraId="792008C0" w14:textId="7EDCBD27">
      <w:pPr>
        <w:pStyle w:val="ListParagraph"/>
        <w:numPr>
          <w:ilvl w:val="0"/>
          <w:numId w:val="8"/>
        </w:numPr>
        <w:spacing w:after="0"/>
        <w:rPr>
          <w:rFonts w:ascii="Arial" w:hAnsi="Arial" w:cs="Arial"/>
        </w:rPr>
      </w:pPr>
      <w:r w:rsidRPr="00A60DB7">
        <w:rPr>
          <w:rFonts w:ascii="Arial" w:hAnsi="Arial" w:cs="Arial"/>
          <w:b/>
          <w:bCs/>
          <w:i/>
          <w:iCs/>
        </w:rPr>
        <w:t>Digital engagement</w:t>
      </w:r>
      <w:r w:rsidRPr="00A60DB7">
        <w:rPr>
          <w:rFonts w:ascii="Arial" w:hAnsi="Arial" w:cs="Arial"/>
        </w:rPr>
        <w:t xml:space="preserve"> </w:t>
      </w:r>
      <w:bookmarkStart w:name="_Hlk211880417" w:id="16"/>
      <w:r w:rsidRPr="00A60DB7">
        <w:rPr>
          <w:rFonts w:ascii="Arial" w:hAnsi="Arial" w:cs="Arial"/>
        </w:rPr>
        <w:t xml:space="preserve">will be a review of </w:t>
      </w:r>
      <w:bookmarkEnd w:id="16"/>
      <w:r w:rsidRPr="00A60DB7">
        <w:rPr>
          <w:rFonts w:ascii="Arial" w:hAnsi="Arial" w:cs="Arial"/>
        </w:rPr>
        <w:t>website analytics including webpage views and online contact form submissions</w:t>
      </w:r>
    </w:p>
    <w:p w:rsidRPr="00890629" w:rsidR="00DF7711" w:rsidP="00AA5931" w:rsidRDefault="00DF7711" w14:paraId="2E90D2A2" w14:textId="7642B2C6">
      <w:pPr>
        <w:pStyle w:val="ListParagraph"/>
        <w:numPr>
          <w:ilvl w:val="0"/>
          <w:numId w:val="8"/>
        </w:numPr>
        <w:spacing w:after="0"/>
        <w:rPr>
          <w:rFonts w:ascii="Arial" w:hAnsi="Arial" w:cs="Arial"/>
          <w:b/>
          <w:bCs/>
        </w:rPr>
      </w:pPr>
      <w:r w:rsidRPr="00890629">
        <w:rPr>
          <w:rFonts w:ascii="Arial" w:hAnsi="Arial" w:cs="Arial"/>
          <w:b/>
          <w:bCs/>
          <w:i/>
          <w:iCs/>
        </w:rPr>
        <w:t>Direct engagement</w:t>
      </w:r>
      <w:r w:rsidRPr="00890629">
        <w:rPr>
          <w:rFonts w:ascii="Arial" w:hAnsi="Arial" w:cs="Arial"/>
        </w:rPr>
        <w:t xml:space="preserve"> will be a review of telephone enquiries, written correspondence and in-person meetings.</w:t>
      </w:r>
    </w:p>
    <w:p w:rsidRPr="00890629" w:rsidR="00890629" w:rsidP="00AA5931" w:rsidRDefault="00890629" w14:paraId="33021D9F" w14:textId="77777777">
      <w:pPr>
        <w:pStyle w:val="ListParagraph"/>
        <w:spacing w:after="0"/>
        <w:rPr>
          <w:rFonts w:ascii="Arial" w:hAnsi="Arial" w:cs="Arial"/>
          <w:b/>
          <w:bCs/>
        </w:rPr>
      </w:pPr>
    </w:p>
    <w:p w:rsidR="001068DF" w:rsidP="00075E99" w:rsidRDefault="00C7364E" w14:paraId="22BE0097" w14:textId="5F24341B">
      <w:pPr>
        <w:pStyle w:val="Heading1"/>
      </w:pPr>
      <w:bookmarkStart w:name="_Toc215583544" w:id="17"/>
      <w:r>
        <w:t>5</w:t>
      </w:r>
      <w:r>
        <w:tab/>
        <w:t>Implementation and Governance</w:t>
      </w:r>
      <w:bookmarkEnd w:id="17"/>
    </w:p>
    <w:p w:rsidR="00AA5931" w:rsidP="00AA5931" w:rsidRDefault="00AA5931" w14:paraId="0FE9A0CA" w14:textId="77777777">
      <w:pPr>
        <w:spacing w:after="0"/>
        <w:rPr>
          <w:rFonts w:ascii="Arial" w:hAnsi="Arial" w:cs="Arial"/>
        </w:rPr>
      </w:pPr>
    </w:p>
    <w:p w:rsidR="00957143" w:rsidP="00AA5931" w:rsidRDefault="00957143" w14:paraId="5EEAE2F4" w14:textId="6DBD3D68">
      <w:pPr>
        <w:spacing w:after="0"/>
        <w:rPr>
          <w:rFonts w:ascii="Arial" w:hAnsi="Arial" w:cs="Arial"/>
        </w:rPr>
      </w:pPr>
      <w:r>
        <w:rPr>
          <w:rFonts w:ascii="Arial" w:hAnsi="Arial" w:cs="Arial"/>
        </w:rPr>
        <w:t xml:space="preserve">The successful delivery of the </w:t>
      </w:r>
      <w:r w:rsidR="00AE2792">
        <w:rPr>
          <w:rFonts w:ascii="Arial" w:hAnsi="Arial" w:cs="Arial"/>
        </w:rPr>
        <w:t xml:space="preserve">Affordable Housing Delivery Plan </w:t>
      </w:r>
      <w:r>
        <w:rPr>
          <w:rFonts w:ascii="Arial" w:hAnsi="Arial" w:cs="Arial"/>
        </w:rPr>
        <w:t xml:space="preserve">will be supported by the </w:t>
      </w:r>
      <w:r w:rsidR="00E30B95">
        <w:rPr>
          <w:rFonts w:ascii="Arial" w:hAnsi="Arial" w:cs="Arial"/>
        </w:rPr>
        <w:t xml:space="preserve">Affordable Housing </w:t>
      </w:r>
      <w:r>
        <w:rPr>
          <w:rFonts w:ascii="Arial" w:hAnsi="Arial" w:cs="Arial"/>
        </w:rPr>
        <w:t xml:space="preserve">Working Group, a partnership that brings together key stakeholders involved in housing, </w:t>
      </w:r>
      <w:r w:rsidR="00724735">
        <w:rPr>
          <w:rFonts w:ascii="Arial" w:hAnsi="Arial" w:cs="Arial"/>
        </w:rPr>
        <w:t xml:space="preserve">housing </w:t>
      </w:r>
      <w:r>
        <w:rPr>
          <w:rFonts w:ascii="Arial" w:hAnsi="Arial" w:cs="Arial"/>
        </w:rPr>
        <w:t>social care,</w:t>
      </w:r>
      <w:r w:rsidR="005031E3">
        <w:rPr>
          <w:rFonts w:ascii="Arial" w:hAnsi="Arial" w:cs="Arial"/>
        </w:rPr>
        <w:t xml:space="preserve"> planning and regeneration teams</w:t>
      </w:r>
      <w:r>
        <w:rPr>
          <w:rFonts w:ascii="Arial" w:hAnsi="Arial" w:cs="Arial"/>
        </w:rPr>
        <w:t xml:space="preserve">. The group will meet quarterly to coordinate activity, share best practice and monitor progress across the </w:t>
      </w:r>
      <w:r w:rsidR="00E34491">
        <w:rPr>
          <w:rFonts w:ascii="Arial" w:hAnsi="Arial" w:cs="Arial"/>
        </w:rPr>
        <w:t>four focus areas</w:t>
      </w:r>
      <w:r>
        <w:rPr>
          <w:rFonts w:ascii="Arial" w:hAnsi="Arial" w:cs="Arial"/>
        </w:rPr>
        <w:t>.</w:t>
      </w:r>
    </w:p>
    <w:p w:rsidR="00AA5931" w:rsidP="00AA5931" w:rsidRDefault="00AA5931" w14:paraId="3786DACC" w14:textId="77777777">
      <w:pPr>
        <w:spacing w:after="0"/>
        <w:rPr>
          <w:rFonts w:ascii="Arial" w:hAnsi="Arial" w:cs="Arial"/>
        </w:rPr>
      </w:pPr>
    </w:p>
    <w:p w:rsidR="00957143" w:rsidP="00AA5931" w:rsidRDefault="00957143" w14:paraId="7411902A" w14:textId="10CA2F57">
      <w:pPr>
        <w:spacing w:after="0"/>
        <w:rPr>
          <w:rFonts w:ascii="Arial" w:hAnsi="Arial" w:cs="Arial"/>
        </w:rPr>
      </w:pPr>
      <w:r>
        <w:rPr>
          <w:rFonts w:ascii="Arial" w:hAnsi="Arial" w:cs="Arial"/>
        </w:rPr>
        <w:t>To ensure transparency and accountability, progress against the Plan will be reported annually to the Housing and Homelessness Board. This will include updates on:</w:t>
      </w:r>
    </w:p>
    <w:p w:rsidR="00AA5931" w:rsidP="00AA5931" w:rsidRDefault="00AA5931" w14:paraId="384D94BA" w14:textId="77777777">
      <w:pPr>
        <w:spacing w:after="0"/>
        <w:rPr>
          <w:rFonts w:ascii="Arial" w:hAnsi="Arial" w:cs="Arial"/>
        </w:rPr>
      </w:pPr>
    </w:p>
    <w:p w:rsidRPr="00F209D8" w:rsidR="00957143" w:rsidP="00F209D8" w:rsidRDefault="0040702E" w14:paraId="5811E78A" w14:textId="23205996">
      <w:pPr>
        <w:pStyle w:val="ListParagraph"/>
        <w:numPr>
          <w:ilvl w:val="0"/>
          <w:numId w:val="4"/>
        </w:numPr>
        <w:spacing w:after="0"/>
        <w:rPr>
          <w:rFonts w:ascii="Arial" w:hAnsi="Arial" w:cs="Arial"/>
        </w:rPr>
      </w:pPr>
      <w:r>
        <w:rPr>
          <w:rFonts w:ascii="Arial" w:hAnsi="Arial" w:cs="Arial"/>
        </w:rPr>
        <w:t>S</w:t>
      </w:r>
      <w:r w:rsidR="008B4B06">
        <w:rPr>
          <w:rFonts w:ascii="Arial" w:hAnsi="Arial" w:cs="Arial"/>
        </w:rPr>
        <w:t>ervice key performance indicators</w:t>
      </w:r>
    </w:p>
    <w:p w:rsidRPr="00705A6F" w:rsidR="00957143" w:rsidP="00AA5931" w:rsidRDefault="00957143" w14:paraId="41EC8960" w14:textId="3AF74FC1">
      <w:pPr>
        <w:pStyle w:val="ListParagraph"/>
        <w:numPr>
          <w:ilvl w:val="0"/>
          <w:numId w:val="4"/>
        </w:numPr>
        <w:spacing w:after="0"/>
        <w:rPr>
          <w:rFonts w:ascii="Arial" w:hAnsi="Arial" w:cs="Arial"/>
        </w:rPr>
      </w:pPr>
      <w:r w:rsidRPr="00705A6F">
        <w:rPr>
          <w:rFonts w:ascii="Arial" w:hAnsi="Arial" w:cs="Arial"/>
        </w:rPr>
        <w:t xml:space="preserve">Outcomes achieved within each </w:t>
      </w:r>
      <w:r w:rsidRPr="00705A6F" w:rsidR="00E34491">
        <w:rPr>
          <w:rFonts w:ascii="Arial" w:hAnsi="Arial" w:cs="Arial"/>
        </w:rPr>
        <w:t>focus area</w:t>
      </w:r>
      <w:r w:rsidRPr="00705A6F">
        <w:rPr>
          <w:rFonts w:ascii="Arial" w:hAnsi="Arial" w:cs="Arial"/>
        </w:rPr>
        <w:t xml:space="preserve"> including partnership activity</w:t>
      </w:r>
      <w:r w:rsidR="00210756">
        <w:rPr>
          <w:rFonts w:ascii="Arial" w:hAnsi="Arial" w:cs="Arial"/>
        </w:rPr>
        <w:t>.</w:t>
      </w:r>
      <w:r w:rsidRPr="00705A6F">
        <w:rPr>
          <w:rFonts w:ascii="Arial" w:hAnsi="Arial" w:cs="Arial"/>
        </w:rPr>
        <w:t xml:space="preserve"> </w:t>
      </w:r>
    </w:p>
    <w:p w:rsidR="00AA5931" w:rsidP="00AA5931" w:rsidRDefault="00AA5931" w14:paraId="6C14F09B" w14:textId="77777777">
      <w:pPr>
        <w:spacing w:after="0"/>
        <w:rPr>
          <w:rFonts w:ascii="Arial" w:hAnsi="Arial" w:cs="Arial"/>
        </w:rPr>
      </w:pPr>
    </w:p>
    <w:p w:rsidRPr="00C421D4" w:rsidR="00957143" w:rsidP="00AA5931" w:rsidRDefault="00957143" w14:paraId="775F668C" w14:textId="134F8102">
      <w:pPr>
        <w:spacing w:after="0"/>
        <w:rPr>
          <w:rFonts w:ascii="Arial" w:hAnsi="Arial" w:cs="Arial"/>
        </w:rPr>
      </w:pPr>
      <w:r>
        <w:rPr>
          <w:rFonts w:ascii="Arial" w:hAnsi="Arial" w:cs="Arial"/>
        </w:rPr>
        <w:t xml:space="preserve">This governance structure ensures that the Plan is aligned with strategic priorities, is delivering measurable outcomes and value for money. </w:t>
      </w:r>
    </w:p>
    <w:p w:rsidRPr="001068DF" w:rsidR="00C7364E" w:rsidP="00AA5931" w:rsidRDefault="00C7364E" w14:paraId="307304CD" w14:textId="77777777">
      <w:pPr>
        <w:spacing w:after="0"/>
        <w:rPr>
          <w:rFonts w:ascii="Arial" w:hAnsi="Arial" w:cs="Arial"/>
          <w:b/>
          <w:bCs/>
        </w:rPr>
      </w:pPr>
    </w:p>
    <w:p w:rsidR="001068DF" w:rsidP="00AA5931" w:rsidRDefault="001068DF" w14:paraId="2CBB82C7" w14:textId="77777777">
      <w:pPr>
        <w:spacing w:after="0"/>
        <w:rPr>
          <w:rFonts w:ascii="Arial" w:hAnsi="Arial" w:cs="Arial"/>
          <w:i/>
          <w:iCs/>
        </w:rPr>
      </w:pPr>
    </w:p>
    <w:p w:rsidR="001943B4" w:rsidP="00AA5931" w:rsidRDefault="001943B4" w14:paraId="78ADE1EE" w14:textId="77777777">
      <w:pPr>
        <w:spacing w:after="0"/>
        <w:rPr>
          <w:rFonts w:ascii="Arial" w:hAnsi="Arial" w:cs="Arial"/>
          <w:i/>
          <w:iCs/>
        </w:rPr>
      </w:pPr>
    </w:p>
    <w:p w:rsidR="001943B4" w:rsidP="00AA5931" w:rsidRDefault="001943B4" w14:paraId="5824F557" w14:textId="77777777">
      <w:pPr>
        <w:spacing w:after="0"/>
        <w:rPr>
          <w:rFonts w:ascii="Arial" w:hAnsi="Arial" w:cs="Arial"/>
          <w:i/>
          <w:iCs/>
        </w:rPr>
      </w:pPr>
    </w:p>
    <w:p w:rsidR="001943B4" w:rsidP="001068DF" w:rsidRDefault="001943B4" w14:paraId="200E5B72" w14:textId="77777777">
      <w:pPr>
        <w:rPr>
          <w:rFonts w:ascii="Arial" w:hAnsi="Arial" w:cs="Arial"/>
          <w:i/>
          <w:iCs/>
        </w:rPr>
        <w:sectPr w:rsidR="001943B4" w:rsidSect="00DF4F6B">
          <w:pgSz w:w="11906" w:h="16838"/>
          <w:pgMar w:top="1440" w:right="1440" w:bottom="1440" w:left="1440" w:header="708" w:footer="708" w:gutter="0"/>
          <w:pgNumType w:start="0"/>
          <w:cols w:space="708"/>
          <w:titlePg/>
          <w:docGrid w:linePitch="360"/>
        </w:sectPr>
      </w:pPr>
    </w:p>
    <w:p w:rsidR="001943B4" w:rsidP="00075E99" w:rsidRDefault="00AA5931" w14:paraId="6AC84510" w14:textId="243838BA">
      <w:pPr>
        <w:pStyle w:val="Heading1"/>
      </w:pPr>
      <w:bookmarkStart w:name="_Toc215583545" w:id="18"/>
      <w:r w:rsidRPr="00AA5931">
        <w:lastRenderedPageBreak/>
        <w:t xml:space="preserve">Appendix 1 - </w:t>
      </w:r>
      <w:r w:rsidRPr="00AA5931" w:rsidR="001943B4">
        <w:t>Action Plan</w:t>
      </w:r>
      <w:bookmarkEnd w:id="18"/>
    </w:p>
    <w:p w:rsidRPr="00AA5931" w:rsidR="00AA5931" w:rsidP="00AA5931" w:rsidRDefault="00AA5931" w14:paraId="56167BA1" w14:textId="77777777">
      <w:pPr>
        <w:pStyle w:val="Header1"/>
      </w:pPr>
    </w:p>
    <w:tbl>
      <w:tblPr>
        <w:tblStyle w:val="TableGrid"/>
        <w:tblW w:w="14024" w:type="dxa"/>
        <w:tblBorders>
          <w:top w:val="single" w:color="1BAF90" w:sz="8" w:space="0"/>
          <w:left w:val="single" w:color="1BAF90" w:sz="8" w:space="0"/>
          <w:bottom w:val="single" w:color="1BAF90" w:sz="8" w:space="0"/>
          <w:right w:val="single" w:color="1BAF90" w:sz="8" w:space="0"/>
          <w:insideH w:val="single" w:color="1BAF90" w:sz="8" w:space="0"/>
          <w:insideV w:val="single" w:color="1BAF90" w:sz="8" w:space="0"/>
        </w:tblBorders>
        <w:tblCellMar>
          <w:top w:w="85" w:type="dxa"/>
          <w:left w:w="85" w:type="dxa"/>
          <w:bottom w:w="85" w:type="dxa"/>
          <w:right w:w="85" w:type="dxa"/>
        </w:tblCellMar>
        <w:tblLook w:val="04A0" w:firstRow="1" w:lastRow="0" w:firstColumn="1" w:lastColumn="0" w:noHBand="0" w:noVBand="1"/>
      </w:tblPr>
      <w:tblGrid>
        <w:gridCol w:w="840"/>
        <w:gridCol w:w="3261"/>
        <w:gridCol w:w="3402"/>
        <w:gridCol w:w="3260"/>
        <w:gridCol w:w="1560"/>
        <w:gridCol w:w="1701"/>
      </w:tblGrid>
      <w:tr w:rsidR="001943B4" w:rsidTr="00F209D8" w14:paraId="432DC5E1" w14:textId="77777777">
        <w:trPr>
          <w:cantSplit/>
        </w:trPr>
        <w:tc>
          <w:tcPr>
            <w:tcW w:w="840" w:type="dxa"/>
            <w:shd w:val="clear" w:color="auto" w:fill="1BAF90"/>
          </w:tcPr>
          <w:p w:rsidRPr="00AA5931" w:rsidR="001943B4" w:rsidP="001068DF" w:rsidRDefault="001943B4" w14:paraId="0A71DD72" w14:textId="12E2B419">
            <w:pPr>
              <w:rPr>
                <w:rFonts w:ascii="Arial" w:hAnsi="Arial" w:cs="Arial"/>
                <w:b/>
                <w:bCs/>
                <w:color w:val="FFFFFF" w:themeColor="background1"/>
              </w:rPr>
            </w:pPr>
            <w:r w:rsidRPr="00AA5931">
              <w:rPr>
                <w:rFonts w:ascii="Arial" w:hAnsi="Arial" w:cs="Arial"/>
                <w:b/>
                <w:bCs/>
                <w:color w:val="FFFFFF" w:themeColor="background1"/>
              </w:rPr>
              <w:t>Area</w:t>
            </w:r>
          </w:p>
        </w:tc>
        <w:tc>
          <w:tcPr>
            <w:tcW w:w="3261" w:type="dxa"/>
            <w:shd w:val="clear" w:color="auto" w:fill="1BAF90"/>
          </w:tcPr>
          <w:p w:rsidRPr="00AA5931" w:rsidR="001943B4" w:rsidP="001068DF" w:rsidRDefault="008C7B92" w14:paraId="4D492479" w14:textId="0BDFF8B2">
            <w:pPr>
              <w:rPr>
                <w:rFonts w:ascii="Arial" w:hAnsi="Arial" w:cs="Arial"/>
                <w:b/>
                <w:bCs/>
                <w:color w:val="FFFFFF" w:themeColor="background1"/>
              </w:rPr>
            </w:pPr>
            <w:r w:rsidRPr="00AA5931">
              <w:rPr>
                <w:rFonts w:ascii="Arial" w:hAnsi="Arial" w:cs="Arial"/>
                <w:b/>
                <w:bCs/>
                <w:color w:val="FFFFFF" w:themeColor="background1"/>
              </w:rPr>
              <w:t>Action</w:t>
            </w:r>
          </w:p>
        </w:tc>
        <w:tc>
          <w:tcPr>
            <w:tcW w:w="3402" w:type="dxa"/>
            <w:shd w:val="clear" w:color="auto" w:fill="1BAF90"/>
          </w:tcPr>
          <w:p w:rsidRPr="00AA5931" w:rsidR="001943B4" w:rsidP="001068DF" w:rsidRDefault="008C7B92" w14:paraId="0A09096E" w14:textId="34A5EE0A">
            <w:pPr>
              <w:rPr>
                <w:rFonts w:ascii="Arial" w:hAnsi="Arial" w:cs="Arial"/>
                <w:b/>
                <w:bCs/>
                <w:color w:val="FFFFFF" w:themeColor="background1"/>
              </w:rPr>
            </w:pPr>
            <w:r w:rsidRPr="00AA5931">
              <w:rPr>
                <w:rFonts w:ascii="Arial" w:hAnsi="Arial" w:cs="Arial"/>
                <w:b/>
                <w:bCs/>
                <w:color w:val="FFFFFF" w:themeColor="background1"/>
              </w:rPr>
              <w:t xml:space="preserve">Output </w:t>
            </w:r>
          </w:p>
        </w:tc>
        <w:tc>
          <w:tcPr>
            <w:tcW w:w="3260" w:type="dxa"/>
            <w:shd w:val="clear" w:color="auto" w:fill="1BAF90"/>
          </w:tcPr>
          <w:p w:rsidRPr="00AA5931" w:rsidR="001943B4" w:rsidP="001068DF" w:rsidRDefault="008C7B92" w14:paraId="17BB81C7" w14:textId="5CA9CECC">
            <w:pPr>
              <w:rPr>
                <w:rFonts w:ascii="Arial" w:hAnsi="Arial" w:cs="Arial"/>
                <w:b/>
                <w:bCs/>
                <w:color w:val="FFFFFF" w:themeColor="background1"/>
              </w:rPr>
            </w:pPr>
            <w:r w:rsidRPr="00AA5931">
              <w:rPr>
                <w:rFonts w:ascii="Arial" w:hAnsi="Arial" w:cs="Arial"/>
                <w:b/>
                <w:bCs/>
                <w:color w:val="FFFFFF" w:themeColor="background1"/>
              </w:rPr>
              <w:t xml:space="preserve">Outcomes </w:t>
            </w:r>
          </w:p>
        </w:tc>
        <w:tc>
          <w:tcPr>
            <w:tcW w:w="1560" w:type="dxa"/>
            <w:shd w:val="clear" w:color="auto" w:fill="1BAF90"/>
          </w:tcPr>
          <w:p w:rsidRPr="00AA5931" w:rsidR="001943B4" w:rsidP="001068DF" w:rsidRDefault="00932C25" w14:paraId="0F6E6758" w14:textId="42B5FC28">
            <w:pPr>
              <w:rPr>
                <w:rFonts w:ascii="Arial" w:hAnsi="Arial" w:cs="Arial"/>
                <w:b/>
                <w:bCs/>
                <w:color w:val="FFFFFF" w:themeColor="background1"/>
              </w:rPr>
            </w:pPr>
            <w:r w:rsidRPr="00AA5931">
              <w:rPr>
                <w:rFonts w:ascii="Arial" w:hAnsi="Arial" w:cs="Arial"/>
                <w:b/>
                <w:bCs/>
                <w:color w:val="FFFFFF" w:themeColor="background1"/>
              </w:rPr>
              <w:t>Responsible Officer</w:t>
            </w:r>
          </w:p>
        </w:tc>
        <w:tc>
          <w:tcPr>
            <w:tcW w:w="1701" w:type="dxa"/>
            <w:shd w:val="clear" w:color="auto" w:fill="1BAF90"/>
          </w:tcPr>
          <w:p w:rsidRPr="00AA5931" w:rsidR="001943B4" w:rsidP="001068DF" w:rsidRDefault="00932C25" w14:paraId="197F495A" w14:textId="43906353">
            <w:pPr>
              <w:rPr>
                <w:rFonts w:ascii="Arial" w:hAnsi="Arial" w:cs="Arial"/>
                <w:b/>
                <w:bCs/>
                <w:color w:val="FFFFFF" w:themeColor="background1"/>
              </w:rPr>
            </w:pPr>
            <w:r w:rsidRPr="00AA5931">
              <w:rPr>
                <w:rFonts w:ascii="Arial" w:hAnsi="Arial" w:cs="Arial"/>
                <w:b/>
                <w:bCs/>
                <w:color w:val="FFFFFF" w:themeColor="background1"/>
              </w:rPr>
              <w:t>Timescale</w:t>
            </w:r>
          </w:p>
        </w:tc>
      </w:tr>
      <w:tr w:rsidR="00FB6677" w:rsidTr="00F209D8" w14:paraId="7C431FBC" w14:textId="77777777">
        <w:trPr>
          <w:cantSplit/>
        </w:trPr>
        <w:tc>
          <w:tcPr>
            <w:tcW w:w="840" w:type="dxa"/>
            <w:vMerge w:val="restart"/>
          </w:tcPr>
          <w:p w:rsidR="00FB6677" w:rsidP="00206C84" w:rsidRDefault="00FB6677" w14:paraId="4E0D2DD1" w14:textId="153F4E8E">
            <w:pPr>
              <w:spacing w:line="22" w:lineRule="atLeast"/>
              <w:rPr>
                <w:rFonts w:ascii="Arial" w:hAnsi="Arial" w:cs="Arial"/>
              </w:rPr>
            </w:pPr>
            <w:r>
              <w:rPr>
                <w:rFonts w:ascii="Arial" w:hAnsi="Arial" w:cs="Arial"/>
              </w:rPr>
              <w:t>1</w:t>
            </w:r>
          </w:p>
        </w:tc>
        <w:tc>
          <w:tcPr>
            <w:tcW w:w="3261" w:type="dxa"/>
          </w:tcPr>
          <w:p w:rsidR="00FB6677" w:rsidP="00206C84" w:rsidRDefault="00FB6677" w14:paraId="6AA38609" w14:textId="5610F506">
            <w:pPr>
              <w:spacing w:line="22" w:lineRule="atLeast"/>
              <w:rPr>
                <w:rFonts w:ascii="Arial" w:hAnsi="Arial" w:cs="Arial"/>
              </w:rPr>
            </w:pPr>
            <w:r>
              <w:rPr>
                <w:rFonts w:ascii="Arial" w:hAnsi="Arial" w:cs="Arial"/>
              </w:rPr>
              <w:t xml:space="preserve">Review and update the Local Housing Market Assessment to ensure it reflects current housing needs and complies with the latest Welsh Government guidance </w:t>
            </w:r>
          </w:p>
        </w:tc>
        <w:tc>
          <w:tcPr>
            <w:tcW w:w="3402" w:type="dxa"/>
          </w:tcPr>
          <w:p w:rsidR="00FB6677" w:rsidP="00206C84" w:rsidRDefault="00FB6677" w14:paraId="1E5A02AE" w14:textId="07F6B12E">
            <w:pPr>
              <w:spacing w:line="22" w:lineRule="atLeast"/>
              <w:rPr>
                <w:rFonts w:ascii="Arial" w:hAnsi="Arial" w:cs="Arial"/>
              </w:rPr>
            </w:pPr>
            <w:r>
              <w:rPr>
                <w:rFonts w:ascii="Arial" w:hAnsi="Arial" w:cs="Arial"/>
              </w:rPr>
              <w:t>Up-to-date Local Housing Market Assessment in place</w:t>
            </w:r>
          </w:p>
        </w:tc>
        <w:tc>
          <w:tcPr>
            <w:tcW w:w="3260" w:type="dxa"/>
          </w:tcPr>
          <w:p w:rsidR="00FB6677" w:rsidP="00206C84" w:rsidRDefault="00FB6677" w14:paraId="7E2586E7" w14:textId="0867EE38">
            <w:pPr>
              <w:spacing w:line="22" w:lineRule="atLeast"/>
              <w:rPr>
                <w:rFonts w:ascii="Arial" w:hAnsi="Arial" w:cs="Arial"/>
              </w:rPr>
            </w:pPr>
            <w:r>
              <w:rPr>
                <w:rFonts w:ascii="Arial" w:hAnsi="Arial" w:cs="Arial"/>
              </w:rPr>
              <w:t>Supports strategic housing planning and informs capital programmes</w:t>
            </w:r>
          </w:p>
        </w:tc>
        <w:tc>
          <w:tcPr>
            <w:tcW w:w="1560" w:type="dxa"/>
          </w:tcPr>
          <w:p w:rsidR="00FB6677" w:rsidP="00206C84" w:rsidRDefault="00FB6677" w14:paraId="00B546E1" w14:textId="39A93B72">
            <w:pPr>
              <w:spacing w:line="22" w:lineRule="atLeast"/>
              <w:rPr>
                <w:rFonts w:ascii="Arial" w:hAnsi="Arial" w:cs="Arial"/>
              </w:rPr>
            </w:pPr>
            <w:r>
              <w:rPr>
                <w:rFonts w:ascii="Arial" w:hAnsi="Arial" w:cs="Arial"/>
              </w:rPr>
              <w:t>Affordable Housing Officer</w:t>
            </w:r>
          </w:p>
        </w:tc>
        <w:tc>
          <w:tcPr>
            <w:tcW w:w="1701" w:type="dxa"/>
          </w:tcPr>
          <w:p w:rsidR="00FB6677" w:rsidP="00206C84" w:rsidRDefault="3514E2DF" w14:paraId="456CDC10" w14:textId="0016CDF0">
            <w:pPr>
              <w:spacing w:line="22" w:lineRule="atLeast"/>
            </w:pPr>
            <w:r w:rsidRPr="0E68B73C">
              <w:rPr>
                <w:rFonts w:ascii="Arial" w:hAnsi="Arial" w:eastAsia="Arial" w:cs="Arial"/>
              </w:rPr>
              <w:t>31</w:t>
            </w:r>
            <w:r w:rsidRPr="0E68B73C">
              <w:rPr>
                <w:rFonts w:ascii="Arial" w:hAnsi="Arial" w:eastAsia="Arial" w:cs="Arial"/>
                <w:vertAlign w:val="superscript"/>
              </w:rPr>
              <w:t>st</w:t>
            </w:r>
            <w:r w:rsidRPr="0E68B73C">
              <w:rPr>
                <w:rFonts w:ascii="Arial" w:hAnsi="Arial" w:eastAsia="Arial" w:cs="Arial"/>
              </w:rPr>
              <w:t xml:space="preserve"> March 2027 for the </w:t>
            </w:r>
            <w:r w:rsidRPr="0E68B73C" w:rsidR="00131AA5">
              <w:rPr>
                <w:rFonts w:ascii="Arial" w:hAnsi="Arial" w:eastAsia="Arial" w:cs="Arial"/>
              </w:rPr>
              <w:t>2–3-year</w:t>
            </w:r>
            <w:r w:rsidRPr="0E68B73C">
              <w:rPr>
                <w:rFonts w:ascii="Arial" w:hAnsi="Arial" w:eastAsia="Arial" w:cs="Arial"/>
              </w:rPr>
              <w:t xml:space="preserve"> review and the full rewrite deadline is 31</w:t>
            </w:r>
            <w:r w:rsidRPr="0E68B73C">
              <w:rPr>
                <w:rFonts w:ascii="Arial" w:hAnsi="Arial" w:eastAsia="Arial" w:cs="Arial"/>
                <w:vertAlign w:val="superscript"/>
              </w:rPr>
              <w:t>st</w:t>
            </w:r>
            <w:r w:rsidRPr="0E68B73C">
              <w:rPr>
                <w:rFonts w:ascii="Arial" w:hAnsi="Arial" w:eastAsia="Arial" w:cs="Arial"/>
              </w:rPr>
              <w:t xml:space="preserve"> March 2029</w:t>
            </w:r>
          </w:p>
        </w:tc>
      </w:tr>
      <w:tr w:rsidR="00FB6677" w:rsidTr="00F209D8" w14:paraId="4915BBF7" w14:textId="77777777">
        <w:trPr>
          <w:cantSplit/>
        </w:trPr>
        <w:tc>
          <w:tcPr>
            <w:tcW w:w="840" w:type="dxa"/>
            <w:vMerge/>
          </w:tcPr>
          <w:p w:rsidR="00FB6677" w:rsidP="00206C84" w:rsidRDefault="00FB6677" w14:paraId="3625775E" w14:textId="77777777">
            <w:pPr>
              <w:spacing w:line="22" w:lineRule="atLeast"/>
              <w:rPr>
                <w:rFonts w:ascii="Arial" w:hAnsi="Arial" w:cs="Arial"/>
              </w:rPr>
            </w:pPr>
          </w:p>
        </w:tc>
        <w:tc>
          <w:tcPr>
            <w:tcW w:w="3261" w:type="dxa"/>
          </w:tcPr>
          <w:p w:rsidR="00FB6677" w:rsidP="00206C84" w:rsidRDefault="00FB6677" w14:paraId="56612597" w14:textId="6B4B7368">
            <w:pPr>
              <w:spacing w:line="22" w:lineRule="atLeast"/>
              <w:rPr>
                <w:rFonts w:ascii="Arial" w:hAnsi="Arial" w:cs="Arial"/>
              </w:rPr>
            </w:pPr>
            <w:r>
              <w:rPr>
                <w:rFonts w:ascii="Arial" w:hAnsi="Arial" w:cs="Arial"/>
              </w:rPr>
              <w:t>Review and update the Local Housing Prospectus to ensure it reflects current housing needs and strategic priorities</w:t>
            </w:r>
          </w:p>
        </w:tc>
        <w:tc>
          <w:tcPr>
            <w:tcW w:w="3402" w:type="dxa"/>
          </w:tcPr>
          <w:p w:rsidR="00FB6677" w:rsidP="00206C84" w:rsidRDefault="00FB6677" w14:paraId="67EC06E4" w14:textId="4D97CEED">
            <w:pPr>
              <w:spacing w:line="22" w:lineRule="atLeast"/>
              <w:rPr>
                <w:rFonts w:ascii="Arial" w:hAnsi="Arial" w:cs="Arial"/>
              </w:rPr>
            </w:pPr>
            <w:r>
              <w:rPr>
                <w:rFonts w:ascii="Arial" w:hAnsi="Arial" w:cs="Arial"/>
              </w:rPr>
              <w:t>Up-to-date Local Housing Prospectus</w:t>
            </w:r>
          </w:p>
        </w:tc>
        <w:tc>
          <w:tcPr>
            <w:tcW w:w="3260" w:type="dxa"/>
          </w:tcPr>
          <w:p w:rsidR="00FB6677" w:rsidP="00206C84" w:rsidRDefault="00FB6677" w14:paraId="64D14E64" w14:textId="2BEE7A11">
            <w:pPr>
              <w:spacing w:line="22" w:lineRule="atLeast"/>
              <w:rPr>
                <w:rFonts w:ascii="Arial" w:hAnsi="Arial" w:cs="Arial"/>
              </w:rPr>
            </w:pPr>
            <w:r>
              <w:rPr>
                <w:rFonts w:ascii="Arial" w:hAnsi="Arial" w:cs="Arial"/>
              </w:rPr>
              <w:t xml:space="preserve">Used by RSLs to bring forward housing schemes that meet local housing need </w:t>
            </w:r>
          </w:p>
        </w:tc>
        <w:tc>
          <w:tcPr>
            <w:tcW w:w="1560" w:type="dxa"/>
          </w:tcPr>
          <w:p w:rsidR="00FB6677" w:rsidP="00206C84" w:rsidRDefault="00FB6677" w14:paraId="4CB92BF1" w14:textId="2493C908">
            <w:pPr>
              <w:spacing w:line="22" w:lineRule="atLeast"/>
              <w:rPr>
                <w:rFonts w:ascii="Arial" w:hAnsi="Arial" w:cs="Arial"/>
              </w:rPr>
            </w:pPr>
            <w:r>
              <w:rPr>
                <w:rFonts w:ascii="Arial" w:hAnsi="Arial" w:cs="Arial"/>
              </w:rPr>
              <w:t>Affordable Housing Officer</w:t>
            </w:r>
          </w:p>
        </w:tc>
        <w:tc>
          <w:tcPr>
            <w:tcW w:w="1701" w:type="dxa"/>
          </w:tcPr>
          <w:p w:rsidR="00FB6677" w:rsidP="00206C84" w:rsidRDefault="4BED7314" w14:paraId="76D79FAE" w14:textId="0D281B44">
            <w:pPr>
              <w:spacing w:line="22" w:lineRule="atLeast"/>
              <w:rPr>
                <w:rFonts w:ascii="Arial" w:hAnsi="Arial" w:cs="Arial"/>
              </w:rPr>
            </w:pPr>
            <w:r w:rsidRPr="0E68B73C">
              <w:rPr>
                <w:rFonts w:ascii="Arial" w:hAnsi="Arial" w:cs="Arial"/>
              </w:rPr>
              <w:t>May 2026</w:t>
            </w:r>
          </w:p>
        </w:tc>
      </w:tr>
      <w:tr w:rsidR="00FB6677" w:rsidTr="00F209D8" w14:paraId="3A7188B5" w14:textId="77777777">
        <w:trPr>
          <w:cantSplit/>
        </w:trPr>
        <w:tc>
          <w:tcPr>
            <w:tcW w:w="840" w:type="dxa"/>
            <w:vMerge/>
          </w:tcPr>
          <w:p w:rsidR="00FB6677" w:rsidP="00206C84" w:rsidRDefault="00FB6677" w14:paraId="61D8BFFB" w14:textId="77777777">
            <w:pPr>
              <w:spacing w:line="22" w:lineRule="atLeast"/>
              <w:rPr>
                <w:rFonts w:ascii="Arial" w:hAnsi="Arial" w:cs="Arial"/>
              </w:rPr>
            </w:pPr>
          </w:p>
        </w:tc>
        <w:tc>
          <w:tcPr>
            <w:tcW w:w="3261" w:type="dxa"/>
          </w:tcPr>
          <w:p w:rsidR="00FB6677" w:rsidP="00206C84" w:rsidRDefault="00FB6677" w14:paraId="5349E470" w14:textId="7CFFC9B2">
            <w:pPr>
              <w:spacing w:line="22" w:lineRule="atLeast"/>
              <w:rPr>
                <w:rFonts w:ascii="Arial" w:hAnsi="Arial" w:cs="Arial"/>
              </w:rPr>
            </w:pPr>
            <w:r>
              <w:rPr>
                <w:rFonts w:ascii="Arial" w:hAnsi="Arial" w:cs="Arial"/>
              </w:rPr>
              <w:t>In partnership with RSLs develop a pipeline of deliverable schemes ready for funding through the Social Housing Grant or other capital programmes</w:t>
            </w:r>
          </w:p>
        </w:tc>
        <w:tc>
          <w:tcPr>
            <w:tcW w:w="3402" w:type="dxa"/>
          </w:tcPr>
          <w:p w:rsidR="00FB6677" w:rsidP="00206C84" w:rsidRDefault="00FB6677" w14:paraId="2633C1FD" w14:textId="77777777">
            <w:pPr>
              <w:spacing w:line="22" w:lineRule="atLeast"/>
              <w:rPr>
                <w:rFonts w:ascii="Arial" w:hAnsi="Arial" w:cs="Arial"/>
              </w:rPr>
            </w:pPr>
            <w:r>
              <w:rPr>
                <w:rFonts w:ascii="Arial" w:hAnsi="Arial" w:cs="Arial"/>
              </w:rPr>
              <w:t>6 weekly meetings with RSLs</w:t>
            </w:r>
          </w:p>
          <w:p w:rsidR="00FB6677" w:rsidP="00206C84" w:rsidRDefault="00FB6677" w14:paraId="33D22F4B" w14:textId="77777777">
            <w:pPr>
              <w:spacing w:line="22" w:lineRule="atLeast"/>
              <w:rPr>
                <w:rFonts w:ascii="Arial" w:hAnsi="Arial" w:cs="Arial"/>
              </w:rPr>
            </w:pPr>
          </w:p>
          <w:p w:rsidR="00FB6677" w:rsidP="00206C84" w:rsidRDefault="00FB6677" w14:paraId="58318937" w14:textId="13489A9C">
            <w:pPr>
              <w:spacing w:line="22" w:lineRule="atLeast"/>
              <w:rPr>
                <w:rFonts w:ascii="Arial" w:hAnsi="Arial" w:cs="Arial"/>
              </w:rPr>
            </w:pPr>
            <w:r>
              <w:rPr>
                <w:rFonts w:ascii="Arial" w:hAnsi="Arial" w:cs="Arial"/>
              </w:rPr>
              <w:t>Full spend of capital grant funding and ability to take up additional funding if it is available</w:t>
            </w:r>
          </w:p>
          <w:p w:rsidR="00FB6677" w:rsidP="00206C84" w:rsidRDefault="00FB6677" w14:paraId="1B09F8CF" w14:textId="77777777">
            <w:pPr>
              <w:spacing w:line="22" w:lineRule="atLeast"/>
              <w:rPr>
                <w:rFonts w:ascii="Arial" w:hAnsi="Arial" w:cs="Arial"/>
              </w:rPr>
            </w:pPr>
          </w:p>
          <w:p w:rsidR="00FB6677" w:rsidP="00206C84" w:rsidRDefault="00FB6677" w14:paraId="54CD77E0" w14:textId="04AACD37">
            <w:pPr>
              <w:spacing w:line="22" w:lineRule="atLeast"/>
              <w:rPr>
                <w:rFonts w:ascii="Arial" w:hAnsi="Arial" w:cs="Arial"/>
              </w:rPr>
            </w:pPr>
            <w:r>
              <w:rPr>
                <w:rFonts w:ascii="Arial" w:hAnsi="Arial" w:cs="Arial"/>
              </w:rPr>
              <w:t>Achieve target supply of affordable housing</w:t>
            </w:r>
          </w:p>
        </w:tc>
        <w:tc>
          <w:tcPr>
            <w:tcW w:w="3260" w:type="dxa"/>
          </w:tcPr>
          <w:p w:rsidR="00FB6677" w:rsidP="00206C84" w:rsidRDefault="00FB6677" w14:paraId="6111A527" w14:textId="162A9A43">
            <w:pPr>
              <w:spacing w:line="22" w:lineRule="atLeast"/>
              <w:rPr>
                <w:rFonts w:ascii="Arial" w:hAnsi="Arial" w:cs="Arial"/>
              </w:rPr>
            </w:pPr>
            <w:r>
              <w:rPr>
                <w:rFonts w:ascii="Arial" w:hAnsi="Arial" w:cs="Arial"/>
              </w:rPr>
              <w:t>Clear and regular communication with the RSL provides</w:t>
            </w:r>
          </w:p>
          <w:p w:rsidR="00FB6677" w:rsidP="00206C84" w:rsidRDefault="00FB6677" w14:paraId="2AD279B2" w14:textId="77777777">
            <w:pPr>
              <w:spacing w:line="22" w:lineRule="atLeast"/>
              <w:rPr>
                <w:rFonts w:ascii="Arial" w:hAnsi="Arial" w:cs="Arial"/>
              </w:rPr>
            </w:pPr>
          </w:p>
          <w:p w:rsidR="00FB6677" w:rsidP="00206C84" w:rsidRDefault="00FB6677" w14:paraId="1BBA264B" w14:textId="7B6CAD7D">
            <w:pPr>
              <w:spacing w:line="22" w:lineRule="atLeast"/>
              <w:rPr>
                <w:rFonts w:ascii="Arial" w:hAnsi="Arial" w:cs="Arial"/>
              </w:rPr>
            </w:pPr>
            <w:r>
              <w:rPr>
                <w:rFonts w:ascii="Arial" w:hAnsi="Arial" w:cs="Arial"/>
              </w:rPr>
              <w:t>Deliver meets housing need at pace</w:t>
            </w:r>
          </w:p>
          <w:p w:rsidR="00FB6677" w:rsidP="00206C84" w:rsidRDefault="00FB6677" w14:paraId="1125C76F" w14:textId="77777777">
            <w:pPr>
              <w:spacing w:line="22" w:lineRule="atLeast"/>
              <w:rPr>
                <w:rFonts w:ascii="Arial" w:hAnsi="Arial" w:cs="Arial"/>
              </w:rPr>
            </w:pPr>
          </w:p>
          <w:p w:rsidR="00FB6677" w:rsidP="00206C84" w:rsidRDefault="00FB6677" w14:paraId="697CA862" w14:textId="66B451B2">
            <w:pPr>
              <w:spacing w:line="22" w:lineRule="atLeast"/>
              <w:rPr>
                <w:rFonts w:ascii="Arial" w:hAnsi="Arial" w:cs="Arial"/>
              </w:rPr>
            </w:pPr>
          </w:p>
        </w:tc>
        <w:tc>
          <w:tcPr>
            <w:tcW w:w="1560" w:type="dxa"/>
          </w:tcPr>
          <w:p w:rsidR="00FB6677" w:rsidP="00206C84" w:rsidRDefault="00D543EE" w14:paraId="6E54B9E6" w14:textId="3F0379FD">
            <w:pPr>
              <w:spacing w:line="22" w:lineRule="atLeast"/>
              <w:rPr>
                <w:rFonts w:ascii="Arial" w:hAnsi="Arial" w:cs="Arial"/>
              </w:rPr>
            </w:pPr>
            <w:r>
              <w:rPr>
                <w:rFonts w:ascii="Arial" w:hAnsi="Arial" w:cs="Arial"/>
              </w:rPr>
              <w:t>Housing Strategy Manager</w:t>
            </w:r>
          </w:p>
        </w:tc>
        <w:tc>
          <w:tcPr>
            <w:tcW w:w="1701" w:type="dxa"/>
          </w:tcPr>
          <w:p w:rsidR="00FB6677" w:rsidP="00206C84" w:rsidRDefault="00FB6677" w14:paraId="436CA7E3" w14:textId="015D1518">
            <w:pPr>
              <w:spacing w:line="22" w:lineRule="atLeast"/>
              <w:rPr>
                <w:rFonts w:ascii="Arial" w:hAnsi="Arial" w:cs="Arial"/>
              </w:rPr>
            </w:pPr>
            <w:r>
              <w:rPr>
                <w:rFonts w:ascii="Arial" w:hAnsi="Arial" w:cs="Arial"/>
              </w:rPr>
              <w:t>Quarterly</w:t>
            </w:r>
          </w:p>
        </w:tc>
      </w:tr>
      <w:tr w:rsidR="00FB6677" w:rsidTr="00F209D8" w14:paraId="7B27DB28" w14:textId="77777777">
        <w:trPr>
          <w:cantSplit/>
        </w:trPr>
        <w:tc>
          <w:tcPr>
            <w:tcW w:w="840" w:type="dxa"/>
            <w:vMerge/>
          </w:tcPr>
          <w:p w:rsidR="00FB6677" w:rsidP="00206C84" w:rsidRDefault="00FB6677" w14:paraId="3096480B" w14:textId="77777777">
            <w:pPr>
              <w:spacing w:line="22" w:lineRule="atLeast"/>
              <w:rPr>
                <w:rFonts w:ascii="Arial" w:hAnsi="Arial" w:cs="Arial"/>
              </w:rPr>
            </w:pPr>
          </w:p>
        </w:tc>
        <w:tc>
          <w:tcPr>
            <w:tcW w:w="3261" w:type="dxa"/>
          </w:tcPr>
          <w:p w:rsidR="00FB6677" w:rsidP="00206C84" w:rsidRDefault="00FB6677" w14:paraId="33B259BB" w14:textId="30963DC9">
            <w:pPr>
              <w:spacing w:line="22" w:lineRule="atLeast"/>
              <w:rPr>
                <w:rFonts w:ascii="Arial" w:hAnsi="Arial" w:cs="Arial"/>
              </w:rPr>
            </w:pPr>
            <w:r>
              <w:rPr>
                <w:rFonts w:ascii="Arial" w:hAnsi="Arial" w:cs="Arial"/>
              </w:rPr>
              <w:t>Establish a joint asset management forum with RSL partners to share data, priorities and planned investment programmes</w:t>
            </w:r>
          </w:p>
          <w:p w:rsidR="00FB6677" w:rsidP="00206C84" w:rsidRDefault="00FB6677" w14:paraId="333968D8" w14:textId="77777777">
            <w:pPr>
              <w:spacing w:line="22" w:lineRule="atLeast"/>
              <w:rPr>
                <w:rFonts w:ascii="Arial" w:hAnsi="Arial" w:cs="Arial"/>
              </w:rPr>
            </w:pPr>
          </w:p>
          <w:p w:rsidR="00FB6677" w:rsidP="00206C84" w:rsidRDefault="00FB6677" w14:paraId="1056A1FE" w14:textId="57F2EEF9">
            <w:pPr>
              <w:spacing w:line="22" w:lineRule="atLeast"/>
              <w:rPr>
                <w:rFonts w:ascii="Arial" w:hAnsi="Arial" w:cs="Arial"/>
              </w:rPr>
            </w:pPr>
            <w:r>
              <w:rPr>
                <w:rFonts w:ascii="Arial" w:hAnsi="Arial" w:cs="Arial"/>
              </w:rPr>
              <w:t>RSLs to map existing stock and identify underused assets suitable for refurbishment or repurposing</w:t>
            </w:r>
          </w:p>
        </w:tc>
        <w:tc>
          <w:tcPr>
            <w:tcW w:w="3402" w:type="dxa"/>
          </w:tcPr>
          <w:p w:rsidR="00FB6677" w:rsidP="00206C84" w:rsidRDefault="00FB6677" w14:paraId="2C9CD721" w14:textId="172F3098">
            <w:pPr>
              <w:spacing w:line="22" w:lineRule="atLeast"/>
              <w:rPr>
                <w:rFonts w:ascii="Arial" w:hAnsi="Arial" w:cs="Arial"/>
              </w:rPr>
            </w:pPr>
            <w:r>
              <w:rPr>
                <w:rFonts w:ascii="Arial" w:hAnsi="Arial" w:cs="Arial"/>
              </w:rPr>
              <w:t>Quarterly meetings with RSLs</w:t>
            </w:r>
          </w:p>
          <w:p w:rsidR="00FB6677" w:rsidP="00206C84" w:rsidRDefault="00FB6677" w14:paraId="42106BAC" w14:textId="77777777">
            <w:pPr>
              <w:spacing w:line="22" w:lineRule="atLeast"/>
              <w:rPr>
                <w:rFonts w:ascii="Arial" w:hAnsi="Arial" w:cs="Arial"/>
              </w:rPr>
            </w:pPr>
          </w:p>
          <w:p w:rsidR="00FB6677" w:rsidP="00206C84" w:rsidRDefault="00FB6677" w14:paraId="0562D4BC" w14:textId="3B87EB7E">
            <w:pPr>
              <w:spacing w:line="22" w:lineRule="atLeast"/>
              <w:rPr>
                <w:rFonts w:ascii="Arial" w:hAnsi="Arial" w:cs="Arial"/>
              </w:rPr>
            </w:pPr>
            <w:r>
              <w:rPr>
                <w:rFonts w:ascii="Arial" w:hAnsi="Arial" w:cs="Arial"/>
              </w:rPr>
              <w:t>Increased supply of affordable housing</w:t>
            </w:r>
          </w:p>
          <w:p w:rsidR="00FB6677" w:rsidP="00206C84" w:rsidRDefault="00FB6677" w14:paraId="7F49DBF0" w14:textId="77777777">
            <w:pPr>
              <w:spacing w:line="22" w:lineRule="atLeast"/>
              <w:rPr>
                <w:rFonts w:ascii="Arial" w:hAnsi="Arial" w:cs="Arial"/>
              </w:rPr>
            </w:pPr>
          </w:p>
          <w:p w:rsidR="00FB6677" w:rsidP="00206C84" w:rsidRDefault="00FB6677" w14:paraId="66915880" w14:textId="77777777">
            <w:pPr>
              <w:spacing w:line="22" w:lineRule="atLeast"/>
              <w:rPr>
                <w:rFonts w:ascii="Arial" w:hAnsi="Arial" w:cs="Arial"/>
              </w:rPr>
            </w:pPr>
          </w:p>
        </w:tc>
        <w:tc>
          <w:tcPr>
            <w:tcW w:w="3260" w:type="dxa"/>
          </w:tcPr>
          <w:p w:rsidR="00FB6677" w:rsidP="00206C84" w:rsidRDefault="00FB6677" w14:paraId="75874009" w14:textId="77777777">
            <w:pPr>
              <w:spacing w:line="22" w:lineRule="atLeast"/>
              <w:rPr>
                <w:rFonts w:ascii="Arial" w:hAnsi="Arial" w:cs="Arial"/>
              </w:rPr>
            </w:pPr>
            <w:r>
              <w:rPr>
                <w:rFonts w:ascii="Arial" w:hAnsi="Arial" w:cs="Arial"/>
              </w:rPr>
              <w:t>Clear and regular communication with the RSL provides</w:t>
            </w:r>
          </w:p>
          <w:p w:rsidR="00FB6677" w:rsidP="00206C84" w:rsidRDefault="00FB6677" w14:paraId="1C2F1661" w14:textId="77777777">
            <w:pPr>
              <w:spacing w:line="22" w:lineRule="atLeast"/>
              <w:rPr>
                <w:rFonts w:ascii="Arial" w:hAnsi="Arial" w:cs="Arial"/>
              </w:rPr>
            </w:pPr>
          </w:p>
          <w:p w:rsidR="00FB6677" w:rsidP="00206C84" w:rsidRDefault="00FB6677" w14:paraId="2405F993" w14:textId="73DDE46F">
            <w:pPr>
              <w:spacing w:line="22" w:lineRule="atLeast"/>
              <w:rPr>
                <w:rFonts w:ascii="Arial" w:hAnsi="Arial" w:cs="Arial"/>
              </w:rPr>
            </w:pPr>
            <w:r>
              <w:rPr>
                <w:rFonts w:ascii="Arial" w:hAnsi="Arial" w:cs="Arial"/>
              </w:rPr>
              <w:t>Reduced VOID social housing properties, better use of existing housing stock and best use of available grant funding</w:t>
            </w:r>
          </w:p>
          <w:p w:rsidR="00FB6677" w:rsidP="00206C84" w:rsidRDefault="00FB6677" w14:paraId="70FD0E6C" w14:textId="77777777">
            <w:pPr>
              <w:spacing w:line="22" w:lineRule="atLeast"/>
              <w:rPr>
                <w:rFonts w:ascii="Arial" w:hAnsi="Arial" w:cs="Arial"/>
              </w:rPr>
            </w:pPr>
          </w:p>
        </w:tc>
        <w:tc>
          <w:tcPr>
            <w:tcW w:w="1560" w:type="dxa"/>
          </w:tcPr>
          <w:p w:rsidR="00FB6677" w:rsidP="00206C84" w:rsidRDefault="00FB6677" w14:paraId="371F42F7" w14:textId="09AE6890">
            <w:pPr>
              <w:spacing w:line="22" w:lineRule="atLeast"/>
              <w:rPr>
                <w:rFonts w:ascii="Arial" w:hAnsi="Arial" w:cs="Arial"/>
              </w:rPr>
            </w:pPr>
            <w:r>
              <w:rPr>
                <w:rFonts w:ascii="Arial" w:hAnsi="Arial" w:cs="Arial"/>
              </w:rPr>
              <w:t>Housing Services Manager</w:t>
            </w:r>
          </w:p>
        </w:tc>
        <w:tc>
          <w:tcPr>
            <w:tcW w:w="1701" w:type="dxa"/>
          </w:tcPr>
          <w:p w:rsidR="00FB6677" w:rsidP="00206C84" w:rsidRDefault="00FB6677" w14:paraId="4558CFC7" w14:textId="03EBB285">
            <w:pPr>
              <w:spacing w:line="22" w:lineRule="atLeast"/>
              <w:rPr>
                <w:rFonts w:ascii="Arial" w:hAnsi="Arial" w:cs="Arial"/>
              </w:rPr>
            </w:pPr>
            <w:r>
              <w:rPr>
                <w:rFonts w:ascii="Arial" w:hAnsi="Arial" w:cs="Arial"/>
              </w:rPr>
              <w:t>Quarterly</w:t>
            </w:r>
          </w:p>
        </w:tc>
      </w:tr>
      <w:tr w:rsidR="001943B4" w:rsidTr="00F209D8" w14:paraId="033E2EFF" w14:textId="77777777">
        <w:trPr>
          <w:cantSplit/>
        </w:trPr>
        <w:tc>
          <w:tcPr>
            <w:tcW w:w="840" w:type="dxa"/>
          </w:tcPr>
          <w:p w:rsidR="001943B4" w:rsidP="00206C84" w:rsidRDefault="00081FA2" w14:paraId="430F93E1" w14:textId="44D04EA3">
            <w:pPr>
              <w:spacing w:line="22" w:lineRule="atLeast"/>
              <w:rPr>
                <w:rFonts w:ascii="Arial" w:hAnsi="Arial" w:cs="Arial"/>
              </w:rPr>
            </w:pPr>
            <w:r>
              <w:rPr>
                <w:rFonts w:ascii="Arial" w:hAnsi="Arial" w:cs="Arial"/>
              </w:rPr>
              <w:t>2</w:t>
            </w:r>
          </w:p>
        </w:tc>
        <w:tc>
          <w:tcPr>
            <w:tcW w:w="3261" w:type="dxa"/>
          </w:tcPr>
          <w:p w:rsidRPr="00AD5A69" w:rsidR="001943B4" w:rsidP="00206C84" w:rsidRDefault="00F704D5" w14:paraId="47A8EC70" w14:textId="1BBD68F3">
            <w:pPr>
              <w:spacing w:line="22" w:lineRule="atLeast"/>
              <w:rPr>
                <w:rFonts w:ascii="Arial" w:hAnsi="Arial" w:eastAsia="Arial" w:cs="Arial"/>
              </w:rPr>
            </w:pPr>
            <w:r>
              <w:rPr>
                <w:rFonts w:ascii="Arial" w:hAnsi="Arial" w:eastAsia="Arial" w:cs="Arial"/>
              </w:rPr>
              <w:t xml:space="preserve">Use the </w:t>
            </w:r>
            <w:r w:rsidRPr="0E68B73C" w:rsidR="20AAE94D">
              <w:rPr>
                <w:rFonts w:ascii="Arial" w:hAnsi="Arial" w:eastAsia="Arial" w:cs="Arial"/>
              </w:rPr>
              <w:t xml:space="preserve">Affordable Housing Working Group to </w:t>
            </w:r>
            <w:r w:rsidR="009E52C8">
              <w:rPr>
                <w:rFonts w:ascii="Arial" w:hAnsi="Arial" w:eastAsia="Arial" w:cs="Arial"/>
              </w:rPr>
              <w:t>reduce the barriers to affordable housing developments progressing through Planning at pace</w:t>
            </w:r>
          </w:p>
        </w:tc>
        <w:tc>
          <w:tcPr>
            <w:tcW w:w="3402" w:type="dxa"/>
          </w:tcPr>
          <w:p w:rsidR="005D1E97" w:rsidP="00206C84" w:rsidRDefault="005D1E97" w14:paraId="505B482E" w14:textId="3F3E9DE7">
            <w:pPr>
              <w:spacing w:line="22" w:lineRule="atLeast"/>
              <w:rPr>
                <w:rFonts w:ascii="Arial" w:hAnsi="Arial" w:cs="Arial"/>
              </w:rPr>
            </w:pPr>
            <w:r>
              <w:rPr>
                <w:rFonts w:ascii="Arial" w:hAnsi="Arial" w:cs="Arial"/>
              </w:rPr>
              <w:t xml:space="preserve">Quarterly meetings </w:t>
            </w:r>
          </w:p>
          <w:p w:rsidR="005D1E97" w:rsidP="00206C84" w:rsidRDefault="005D1E97" w14:paraId="58ECFB74" w14:textId="77777777">
            <w:pPr>
              <w:spacing w:line="22" w:lineRule="atLeast"/>
              <w:rPr>
                <w:rFonts w:ascii="Arial" w:hAnsi="Arial" w:cs="Arial"/>
              </w:rPr>
            </w:pPr>
          </w:p>
          <w:p w:rsidR="005D1E97" w:rsidP="00206C84" w:rsidRDefault="005D1E97" w14:paraId="16777CD1" w14:textId="77777777">
            <w:pPr>
              <w:spacing w:line="22" w:lineRule="atLeast"/>
              <w:rPr>
                <w:rFonts w:ascii="Arial" w:hAnsi="Arial" w:cs="Arial"/>
              </w:rPr>
            </w:pPr>
            <w:r>
              <w:rPr>
                <w:rFonts w:ascii="Arial" w:hAnsi="Arial" w:cs="Arial"/>
              </w:rPr>
              <w:t>Increased supply of affordable housing</w:t>
            </w:r>
          </w:p>
          <w:p w:rsidR="001943B4" w:rsidP="00206C84" w:rsidRDefault="001943B4" w14:paraId="36836C64" w14:textId="674E7231">
            <w:pPr>
              <w:spacing w:line="22" w:lineRule="atLeast"/>
              <w:rPr>
                <w:rFonts w:ascii="Arial" w:hAnsi="Arial" w:cs="Arial"/>
              </w:rPr>
            </w:pPr>
          </w:p>
        </w:tc>
        <w:tc>
          <w:tcPr>
            <w:tcW w:w="3260" w:type="dxa"/>
          </w:tcPr>
          <w:p w:rsidR="001943B4" w:rsidP="00206C84" w:rsidRDefault="574394C0" w14:paraId="6AE1FACA" w14:textId="5B9020F1">
            <w:pPr>
              <w:spacing w:line="22" w:lineRule="atLeast"/>
            </w:pPr>
            <w:r w:rsidRPr="0E68B73C">
              <w:rPr>
                <w:rFonts w:ascii="Arial" w:hAnsi="Arial" w:eastAsia="Arial" w:cs="Arial"/>
              </w:rPr>
              <w:t>Accelerate the delivery of affordable housing</w:t>
            </w:r>
          </w:p>
        </w:tc>
        <w:tc>
          <w:tcPr>
            <w:tcW w:w="1560" w:type="dxa"/>
          </w:tcPr>
          <w:p w:rsidR="001943B4" w:rsidP="00206C84" w:rsidRDefault="574394C0" w14:paraId="7A5EF5A4" w14:textId="55299927">
            <w:pPr>
              <w:spacing w:line="22" w:lineRule="atLeast"/>
              <w:rPr>
                <w:rFonts w:ascii="Arial" w:hAnsi="Arial" w:cs="Arial"/>
              </w:rPr>
            </w:pPr>
            <w:r w:rsidRPr="0E68B73C">
              <w:rPr>
                <w:rFonts w:ascii="Arial" w:hAnsi="Arial" w:cs="Arial"/>
              </w:rPr>
              <w:t>Housing Strategy Manager</w:t>
            </w:r>
          </w:p>
        </w:tc>
        <w:tc>
          <w:tcPr>
            <w:tcW w:w="1701" w:type="dxa"/>
          </w:tcPr>
          <w:p w:rsidR="001943B4" w:rsidP="00206C84" w:rsidRDefault="005D1E97" w14:paraId="280281E6" w14:textId="23C8AF33">
            <w:pPr>
              <w:spacing w:line="22" w:lineRule="atLeast"/>
              <w:rPr>
                <w:rFonts w:ascii="Arial" w:hAnsi="Arial" w:cs="Arial"/>
              </w:rPr>
            </w:pPr>
            <w:r>
              <w:rPr>
                <w:rFonts w:ascii="Arial" w:hAnsi="Arial" w:cs="Arial"/>
              </w:rPr>
              <w:t>Quarterly</w:t>
            </w:r>
          </w:p>
        </w:tc>
      </w:tr>
      <w:tr w:rsidR="00B177C0" w:rsidTr="00F209D8" w14:paraId="3683011B" w14:textId="77777777">
        <w:trPr>
          <w:cantSplit/>
        </w:trPr>
        <w:tc>
          <w:tcPr>
            <w:tcW w:w="840" w:type="dxa"/>
            <w:vMerge w:val="restart"/>
          </w:tcPr>
          <w:p w:rsidR="00B177C0" w:rsidP="00206C84" w:rsidRDefault="00B177C0" w14:paraId="3FD8DC33" w14:textId="5ACE30D0">
            <w:pPr>
              <w:spacing w:line="22" w:lineRule="atLeast"/>
              <w:rPr>
                <w:rFonts w:ascii="Arial" w:hAnsi="Arial" w:cs="Arial"/>
              </w:rPr>
            </w:pPr>
            <w:r>
              <w:rPr>
                <w:rFonts w:ascii="Arial" w:hAnsi="Arial" w:cs="Arial"/>
              </w:rPr>
              <w:t>3</w:t>
            </w:r>
          </w:p>
        </w:tc>
        <w:tc>
          <w:tcPr>
            <w:tcW w:w="3261" w:type="dxa"/>
          </w:tcPr>
          <w:p w:rsidR="00B177C0" w:rsidP="00206C84" w:rsidRDefault="00B177C0" w14:paraId="7D8472E8" w14:textId="795DE493">
            <w:pPr>
              <w:spacing w:line="22" w:lineRule="atLeast"/>
              <w:rPr>
                <w:rFonts w:ascii="Arial" w:hAnsi="Arial" w:cs="Arial"/>
                <w:highlight w:val="yellow"/>
              </w:rPr>
            </w:pPr>
            <w:r w:rsidRPr="009B55A9">
              <w:rPr>
                <w:rFonts w:ascii="Arial" w:hAnsi="Arial" w:cs="Arial"/>
              </w:rPr>
              <w:t>Review the Leasing Scheme Wales delivery framework to ensure the correct internal procedures for property assessment, lease agreements and landlord engagement is in place</w:t>
            </w:r>
          </w:p>
        </w:tc>
        <w:tc>
          <w:tcPr>
            <w:tcW w:w="3402" w:type="dxa"/>
          </w:tcPr>
          <w:p w:rsidR="00B177C0" w:rsidP="00206C84" w:rsidRDefault="00B177C0" w14:paraId="4DC1AC5E" w14:textId="77777777">
            <w:pPr>
              <w:spacing w:line="22" w:lineRule="atLeast"/>
              <w:rPr>
                <w:rFonts w:ascii="Arial" w:hAnsi="Arial" w:cs="Arial"/>
              </w:rPr>
            </w:pPr>
            <w:r>
              <w:rPr>
                <w:rFonts w:ascii="Arial" w:hAnsi="Arial" w:cs="Arial"/>
              </w:rPr>
              <w:t>Full spend of Leasing Scheme Wales Grant</w:t>
            </w:r>
          </w:p>
          <w:p w:rsidR="00B177C0" w:rsidP="00206C84" w:rsidRDefault="00B177C0" w14:paraId="66048627" w14:textId="77777777">
            <w:pPr>
              <w:spacing w:line="22" w:lineRule="atLeast"/>
              <w:rPr>
                <w:rFonts w:ascii="Arial" w:hAnsi="Arial" w:cs="Arial"/>
              </w:rPr>
            </w:pPr>
          </w:p>
          <w:p w:rsidR="00B177C0" w:rsidP="00206C84" w:rsidRDefault="5BDB6577" w14:paraId="5D391B13" w14:textId="43FB1AAF">
            <w:pPr>
              <w:spacing w:line="22" w:lineRule="atLeast"/>
              <w:rPr>
                <w:rFonts w:ascii="Arial" w:hAnsi="Arial" w:cs="Arial"/>
              </w:rPr>
            </w:pPr>
            <w:r w:rsidRPr="0E68B73C">
              <w:rPr>
                <w:rFonts w:ascii="Arial" w:hAnsi="Arial" w:cs="Arial"/>
              </w:rPr>
              <w:t xml:space="preserve">Achieve target of </w:t>
            </w:r>
            <w:r w:rsidRPr="004A3083" w:rsidR="1246C96A">
              <w:rPr>
                <w:rFonts w:ascii="Arial" w:hAnsi="Arial" w:cs="Arial"/>
              </w:rPr>
              <w:t>37</w:t>
            </w:r>
            <w:r w:rsidRPr="0E68B73C">
              <w:rPr>
                <w:rFonts w:ascii="Arial" w:hAnsi="Arial" w:cs="Arial"/>
              </w:rPr>
              <w:t xml:space="preserve"> new private sector leasing scheme units</w:t>
            </w:r>
          </w:p>
        </w:tc>
        <w:tc>
          <w:tcPr>
            <w:tcW w:w="3260" w:type="dxa"/>
          </w:tcPr>
          <w:p w:rsidR="00B177C0" w:rsidP="00206C84" w:rsidRDefault="00B177C0" w14:paraId="72D09E36" w14:textId="4DF172C2">
            <w:pPr>
              <w:spacing w:line="22" w:lineRule="atLeast"/>
              <w:rPr>
                <w:rFonts w:ascii="Arial" w:hAnsi="Arial" w:cs="Arial"/>
              </w:rPr>
            </w:pPr>
            <w:r>
              <w:rPr>
                <w:rFonts w:ascii="Arial" w:hAnsi="Arial" w:cs="Arial"/>
              </w:rPr>
              <w:t>Increased engagement with landlords</w:t>
            </w:r>
          </w:p>
        </w:tc>
        <w:tc>
          <w:tcPr>
            <w:tcW w:w="1560" w:type="dxa"/>
          </w:tcPr>
          <w:p w:rsidR="00B177C0" w:rsidP="00206C84" w:rsidRDefault="00B177C0" w14:paraId="4852768D" w14:textId="2CCBD112">
            <w:pPr>
              <w:spacing w:line="22" w:lineRule="atLeast"/>
              <w:rPr>
                <w:rFonts w:ascii="Arial" w:hAnsi="Arial" w:cs="Arial"/>
              </w:rPr>
            </w:pPr>
            <w:r w:rsidRPr="00332469">
              <w:rPr>
                <w:rFonts w:ascii="Arial" w:hAnsi="Arial" w:cs="Arial"/>
              </w:rPr>
              <w:t>Housing Partnership Manager</w:t>
            </w:r>
          </w:p>
        </w:tc>
        <w:tc>
          <w:tcPr>
            <w:tcW w:w="1701" w:type="dxa"/>
          </w:tcPr>
          <w:p w:rsidR="00B177C0" w:rsidP="00206C84" w:rsidRDefault="00B177C0" w14:paraId="1E9ADFA8" w14:textId="0DE50767">
            <w:pPr>
              <w:spacing w:line="22" w:lineRule="atLeast"/>
              <w:rPr>
                <w:rFonts w:ascii="Arial" w:hAnsi="Arial" w:cs="Arial"/>
              </w:rPr>
            </w:pPr>
            <w:r>
              <w:rPr>
                <w:rFonts w:ascii="Arial" w:hAnsi="Arial" w:cs="Arial"/>
              </w:rPr>
              <w:t>May 2026</w:t>
            </w:r>
          </w:p>
        </w:tc>
      </w:tr>
      <w:tr w:rsidR="00B177C0" w:rsidTr="00F209D8" w14:paraId="470B0377" w14:textId="77777777">
        <w:trPr>
          <w:cantSplit/>
        </w:trPr>
        <w:tc>
          <w:tcPr>
            <w:tcW w:w="840" w:type="dxa"/>
            <w:vMerge/>
          </w:tcPr>
          <w:p w:rsidR="00B177C0" w:rsidP="00206C84" w:rsidRDefault="00B177C0" w14:paraId="79FC4C14" w14:textId="77777777">
            <w:pPr>
              <w:spacing w:line="22" w:lineRule="atLeast"/>
              <w:rPr>
                <w:rFonts w:ascii="Arial" w:hAnsi="Arial" w:cs="Arial"/>
              </w:rPr>
            </w:pPr>
          </w:p>
        </w:tc>
        <w:tc>
          <w:tcPr>
            <w:tcW w:w="3261" w:type="dxa"/>
            <w:vMerge w:val="restart"/>
          </w:tcPr>
          <w:p w:rsidRPr="009B55A9" w:rsidR="00B177C0" w:rsidP="00206C84" w:rsidRDefault="00B177C0" w14:paraId="5EFF8D74" w14:textId="60FCA69E">
            <w:pPr>
              <w:spacing w:line="22" w:lineRule="atLeast"/>
              <w:rPr>
                <w:rFonts w:ascii="Arial" w:hAnsi="Arial" w:cs="Arial"/>
              </w:rPr>
            </w:pPr>
            <w:r>
              <w:rPr>
                <w:rFonts w:ascii="Arial" w:hAnsi="Arial" w:cs="Arial"/>
              </w:rPr>
              <w:t xml:space="preserve">Launch a targeted communications campaign to promote </w:t>
            </w:r>
            <w:r w:rsidRPr="009B55A9">
              <w:rPr>
                <w:rFonts w:ascii="Arial" w:hAnsi="Arial" w:cs="Arial"/>
              </w:rPr>
              <w:t>Leasing Scheme Wales</w:t>
            </w:r>
            <w:r>
              <w:rPr>
                <w:rFonts w:ascii="Arial" w:hAnsi="Arial" w:cs="Arial"/>
              </w:rPr>
              <w:t xml:space="preserve"> and any other initiatives identified during the year</w:t>
            </w:r>
          </w:p>
        </w:tc>
        <w:tc>
          <w:tcPr>
            <w:tcW w:w="3402" w:type="dxa"/>
          </w:tcPr>
          <w:p w:rsidR="00B177C0" w:rsidP="00206C84" w:rsidRDefault="00B177C0" w14:paraId="380C5341" w14:textId="77777777">
            <w:pPr>
              <w:spacing w:line="22" w:lineRule="atLeast"/>
              <w:rPr>
                <w:rFonts w:ascii="Arial" w:hAnsi="Arial" w:cs="Arial"/>
              </w:rPr>
            </w:pPr>
          </w:p>
          <w:p w:rsidR="00B177C0" w:rsidP="00206C84" w:rsidRDefault="00B177C0" w14:paraId="371A5742" w14:textId="77777777">
            <w:pPr>
              <w:spacing w:line="22" w:lineRule="atLeast"/>
              <w:rPr>
                <w:rFonts w:ascii="Arial" w:hAnsi="Arial" w:cs="Arial"/>
              </w:rPr>
            </w:pPr>
            <w:r>
              <w:rPr>
                <w:rFonts w:ascii="Arial" w:hAnsi="Arial" w:cs="Arial"/>
              </w:rPr>
              <w:t>Updated Council web pages</w:t>
            </w:r>
          </w:p>
          <w:p w:rsidR="00B177C0" w:rsidP="00206C84" w:rsidRDefault="00B177C0" w14:paraId="0CE29474" w14:textId="359284F8">
            <w:pPr>
              <w:spacing w:line="22" w:lineRule="atLeast"/>
              <w:rPr>
                <w:rFonts w:ascii="Arial" w:hAnsi="Arial" w:cs="Arial"/>
              </w:rPr>
            </w:pPr>
          </w:p>
        </w:tc>
        <w:tc>
          <w:tcPr>
            <w:tcW w:w="3260" w:type="dxa"/>
            <w:vMerge w:val="restart"/>
          </w:tcPr>
          <w:p w:rsidR="00B177C0" w:rsidP="00206C84" w:rsidRDefault="00B177C0" w14:paraId="6B65DC89" w14:textId="5103DB62">
            <w:pPr>
              <w:spacing w:line="22" w:lineRule="atLeast"/>
              <w:rPr>
                <w:rFonts w:ascii="Arial" w:hAnsi="Arial" w:cs="Arial"/>
              </w:rPr>
            </w:pPr>
            <w:r>
              <w:rPr>
                <w:rFonts w:ascii="Arial" w:hAnsi="Arial" w:cs="Arial"/>
              </w:rPr>
              <w:t>Increased engagement with landlords</w:t>
            </w:r>
          </w:p>
        </w:tc>
        <w:tc>
          <w:tcPr>
            <w:tcW w:w="1560" w:type="dxa"/>
          </w:tcPr>
          <w:p w:rsidR="00B177C0" w:rsidP="00206C84" w:rsidRDefault="00B177C0" w14:paraId="3DCA6F07" w14:textId="1A605619">
            <w:pPr>
              <w:spacing w:line="22" w:lineRule="atLeast"/>
              <w:rPr>
                <w:rFonts w:ascii="Arial" w:hAnsi="Arial" w:cs="Arial"/>
              </w:rPr>
            </w:pPr>
            <w:r w:rsidRPr="00332469">
              <w:rPr>
                <w:rFonts w:ascii="Arial" w:hAnsi="Arial" w:cs="Arial"/>
              </w:rPr>
              <w:t>Housing Partnership Manager</w:t>
            </w:r>
          </w:p>
        </w:tc>
        <w:tc>
          <w:tcPr>
            <w:tcW w:w="1701" w:type="dxa"/>
          </w:tcPr>
          <w:p w:rsidR="00B177C0" w:rsidP="00206C84" w:rsidRDefault="00B177C0" w14:paraId="1A1231BE" w14:textId="60476728">
            <w:pPr>
              <w:spacing w:line="22" w:lineRule="atLeast"/>
              <w:rPr>
                <w:rFonts w:ascii="Arial" w:hAnsi="Arial" w:cs="Arial"/>
              </w:rPr>
            </w:pPr>
            <w:r>
              <w:rPr>
                <w:rFonts w:ascii="Arial" w:hAnsi="Arial" w:cs="Arial"/>
              </w:rPr>
              <w:t>May 2026</w:t>
            </w:r>
          </w:p>
        </w:tc>
      </w:tr>
      <w:tr w:rsidR="00B177C0" w:rsidTr="00F209D8" w14:paraId="20DE65CB" w14:textId="77777777">
        <w:trPr>
          <w:cantSplit/>
        </w:trPr>
        <w:tc>
          <w:tcPr>
            <w:tcW w:w="840" w:type="dxa"/>
            <w:vMerge/>
          </w:tcPr>
          <w:p w:rsidR="00B177C0" w:rsidP="00206C84" w:rsidRDefault="00B177C0" w14:paraId="2B1160F4" w14:textId="77777777">
            <w:pPr>
              <w:spacing w:line="22" w:lineRule="atLeast"/>
              <w:rPr>
                <w:rFonts w:ascii="Arial" w:hAnsi="Arial" w:cs="Arial"/>
              </w:rPr>
            </w:pPr>
          </w:p>
        </w:tc>
        <w:tc>
          <w:tcPr>
            <w:tcW w:w="3261" w:type="dxa"/>
            <w:vMerge/>
          </w:tcPr>
          <w:p w:rsidR="00B177C0" w:rsidP="00206C84" w:rsidRDefault="00B177C0" w14:paraId="54C14156" w14:textId="77777777">
            <w:pPr>
              <w:spacing w:line="22" w:lineRule="atLeast"/>
              <w:rPr>
                <w:rFonts w:ascii="Arial" w:hAnsi="Arial" w:cs="Arial"/>
              </w:rPr>
            </w:pPr>
          </w:p>
        </w:tc>
        <w:tc>
          <w:tcPr>
            <w:tcW w:w="3402" w:type="dxa"/>
          </w:tcPr>
          <w:p w:rsidR="00B177C0" w:rsidP="00206C84" w:rsidRDefault="00B177C0" w14:paraId="181B4D02" w14:textId="09ECE5DC">
            <w:pPr>
              <w:spacing w:line="22" w:lineRule="atLeast"/>
              <w:rPr>
                <w:rFonts w:ascii="Arial" w:hAnsi="Arial" w:cs="Arial"/>
              </w:rPr>
            </w:pPr>
            <w:r>
              <w:rPr>
                <w:rFonts w:ascii="Arial" w:hAnsi="Arial" w:cs="Arial"/>
              </w:rPr>
              <w:t xml:space="preserve">Hold 2 x landlord and lettings agency forums </w:t>
            </w:r>
          </w:p>
          <w:p w:rsidR="00B177C0" w:rsidP="00206C84" w:rsidRDefault="00B177C0" w14:paraId="14F47223" w14:textId="77777777">
            <w:pPr>
              <w:spacing w:line="22" w:lineRule="atLeast"/>
              <w:rPr>
                <w:rFonts w:ascii="Arial" w:hAnsi="Arial" w:cs="Arial"/>
              </w:rPr>
            </w:pPr>
          </w:p>
        </w:tc>
        <w:tc>
          <w:tcPr>
            <w:tcW w:w="3260" w:type="dxa"/>
            <w:vMerge/>
          </w:tcPr>
          <w:p w:rsidR="00B177C0" w:rsidP="00206C84" w:rsidRDefault="00B177C0" w14:paraId="00CB5FCB" w14:textId="77777777">
            <w:pPr>
              <w:spacing w:line="22" w:lineRule="atLeast"/>
              <w:rPr>
                <w:rFonts w:ascii="Arial" w:hAnsi="Arial" w:cs="Arial"/>
              </w:rPr>
            </w:pPr>
          </w:p>
        </w:tc>
        <w:tc>
          <w:tcPr>
            <w:tcW w:w="1560" w:type="dxa"/>
          </w:tcPr>
          <w:p w:rsidR="00B177C0" w:rsidP="00206C84" w:rsidRDefault="00B177C0" w14:paraId="15268F45" w14:textId="7CD3AE02">
            <w:pPr>
              <w:spacing w:line="22" w:lineRule="atLeast"/>
              <w:rPr>
                <w:rFonts w:ascii="Arial" w:hAnsi="Arial" w:cs="Arial"/>
              </w:rPr>
            </w:pPr>
            <w:r w:rsidRPr="00332469">
              <w:rPr>
                <w:rFonts w:ascii="Arial" w:hAnsi="Arial" w:cs="Arial"/>
              </w:rPr>
              <w:t>Housing Partnership Manager</w:t>
            </w:r>
          </w:p>
        </w:tc>
        <w:tc>
          <w:tcPr>
            <w:tcW w:w="1701" w:type="dxa"/>
          </w:tcPr>
          <w:p w:rsidR="00B177C0" w:rsidP="00206C84" w:rsidRDefault="00B177C0" w14:paraId="5763DE61" w14:textId="77777777">
            <w:pPr>
              <w:spacing w:line="22" w:lineRule="atLeast"/>
              <w:rPr>
                <w:rFonts w:ascii="Arial" w:hAnsi="Arial" w:cs="Arial"/>
              </w:rPr>
            </w:pPr>
            <w:r>
              <w:rPr>
                <w:rFonts w:ascii="Arial" w:hAnsi="Arial" w:cs="Arial"/>
              </w:rPr>
              <w:t xml:space="preserve">June 2026 </w:t>
            </w:r>
          </w:p>
          <w:p w:rsidR="00B177C0" w:rsidP="00206C84" w:rsidRDefault="00B177C0" w14:paraId="0352F71A" w14:textId="6DD31F47">
            <w:pPr>
              <w:spacing w:line="22" w:lineRule="atLeast"/>
              <w:rPr>
                <w:rFonts w:ascii="Arial" w:hAnsi="Arial" w:cs="Arial"/>
              </w:rPr>
            </w:pPr>
            <w:r>
              <w:rPr>
                <w:rFonts w:ascii="Arial" w:hAnsi="Arial" w:cs="Arial"/>
              </w:rPr>
              <w:t>December 2026</w:t>
            </w:r>
          </w:p>
        </w:tc>
      </w:tr>
      <w:tr w:rsidR="00B177C0" w:rsidTr="00F209D8" w14:paraId="593C186A" w14:textId="77777777">
        <w:trPr>
          <w:cantSplit/>
        </w:trPr>
        <w:tc>
          <w:tcPr>
            <w:tcW w:w="840" w:type="dxa"/>
            <w:vMerge/>
          </w:tcPr>
          <w:p w:rsidR="00B177C0" w:rsidP="00206C84" w:rsidRDefault="00B177C0" w14:paraId="29299241" w14:textId="77777777">
            <w:pPr>
              <w:spacing w:line="22" w:lineRule="atLeast"/>
              <w:rPr>
                <w:rFonts w:ascii="Arial" w:hAnsi="Arial" w:cs="Arial"/>
              </w:rPr>
            </w:pPr>
          </w:p>
        </w:tc>
        <w:tc>
          <w:tcPr>
            <w:tcW w:w="3261" w:type="dxa"/>
            <w:vMerge/>
          </w:tcPr>
          <w:p w:rsidR="00B177C0" w:rsidP="00206C84" w:rsidRDefault="00B177C0" w14:paraId="3ADC861B" w14:textId="77777777">
            <w:pPr>
              <w:spacing w:line="22" w:lineRule="atLeast"/>
              <w:rPr>
                <w:rFonts w:ascii="Arial" w:hAnsi="Arial" w:cs="Arial"/>
              </w:rPr>
            </w:pPr>
          </w:p>
        </w:tc>
        <w:tc>
          <w:tcPr>
            <w:tcW w:w="3402" w:type="dxa"/>
          </w:tcPr>
          <w:p w:rsidR="00B177C0" w:rsidP="00206C84" w:rsidRDefault="00B177C0" w14:paraId="02330E8B" w14:textId="77777777">
            <w:pPr>
              <w:spacing w:line="22" w:lineRule="atLeast"/>
              <w:rPr>
                <w:rFonts w:ascii="Arial" w:hAnsi="Arial" w:cs="Arial"/>
              </w:rPr>
            </w:pPr>
            <w:r>
              <w:rPr>
                <w:rFonts w:ascii="Arial" w:hAnsi="Arial" w:cs="Arial"/>
              </w:rPr>
              <w:t>Landlord bulletin</w:t>
            </w:r>
          </w:p>
          <w:p w:rsidR="00B177C0" w:rsidP="00206C84" w:rsidRDefault="00B177C0" w14:paraId="39118004" w14:textId="77777777">
            <w:pPr>
              <w:spacing w:line="22" w:lineRule="atLeast"/>
              <w:rPr>
                <w:rFonts w:ascii="Arial" w:hAnsi="Arial" w:cs="Arial"/>
              </w:rPr>
            </w:pPr>
          </w:p>
        </w:tc>
        <w:tc>
          <w:tcPr>
            <w:tcW w:w="3260" w:type="dxa"/>
            <w:vMerge/>
          </w:tcPr>
          <w:p w:rsidR="00B177C0" w:rsidP="00206C84" w:rsidRDefault="00B177C0" w14:paraId="6F68FADB" w14:textId="77777777">
            <w:pPr>
              <w:spacing w:line="22" w:lineRule="atLeast"/>
              <w:rPr>
                <w:rFonts w:ascii="Arial" w:hAnsi="Arial" w:cs="Arial"/>
              </w:rPr>
            </w:pPr>
          </w:p>
        </w:tc>
        <w:tc>
          <w:tcPr>
            <w:tcW w:w="1560" w:type="dxa"/>
          </w:tcPr>
          <w:p w:rsidR="00B177C0" w:rsidP="00206C84" w:rsidRDefault="00B177C0" w14:paraId="296CA8DC" w14:textId="3C89BFC2">
            <w:pPr>
              <w:spacing w:line="22" w:lineRule="atLeast"/>
              <w:rPr>
                <w:rFonts w:ascii="Arial" w:hAnsi="Arial" w:cs="Arial"/>
              </w:rPr>
            </w:pPr>
            <w:r>
              <w:rPr>
                <w:rFonts w:ascii="Arial" w:hAnsi="Arial" w:cs="Arial"/>
              </w:rPr>
              <w:t>Housing Partnership Manager</w:t>
            </w:r>
          </w:p>
        </w:tc>
        <w:tc>
          <w:tcPr>
            <w:tcW w:w="1701" w:type="dxa"/>
          </w:tcPr>
          <w:p w:rsidR="00B177C0" w:rsidP="00206C84" w:rsidRDefault="00B177C0" w14:paraId="3AB69D93" w14:textId="77777777">
            <w:pPr>
              <w:spacing w:line="22" w:lineRule="atLeast"/>
              <w:rPr>
                <w:rFonts w:ascii="Arial" w:hAnsi="Arial" w:cs="Arial"/>
              </w:rPr>
            </w:pPr>
            <w:r>
              <w:rPr>
                <w:rFonts w:ascii="Arial" w:hAnsi="Arial" w:cs="Arial"/>
              </w:rPr>
              <w:t>June 2026</w:t>
            </w:r>
          </w:p>
          <w:p w:rsidR="00B177C0" w:rsidP="00206C84" w:rsidRDefault="00B177C0" w14:paraId="4896B8CB" w14:textId="0AC7DDF5">
            <w:pPr>
              <w:spacing w:line="22" w:lineRule="atLeast"/>
              <w:rPr>
                <w:rFonts w:ascii="Arial" w:hAnsi="Arial" w:cs="Arial"/>
              </w:rPr>
            </w:pPr>
            <w:r>
              <w:rPr>
                <w:rFonts w:ascii="Arial" w:hAnsi="Arial" w:cs="Arial"/>
              </w:rPr>
              <w:t>December 2026</w:t>
            </w:r>
          </w:p>
        </w:tc>
      </w:tr>
      <w:tr w:rsidR="00B177C0" w:rsidTr="00F209D8" w14:paraId="1B7B6B2F" w14:textId="77777777">
        <w:trPr>
          <w:cantSplit/>
        </w:trPr>
        <w:tc>
          <w:tcPr>
            <w:tcW w:w="840" w:type="dxa"/>
            <w:vMerge/>
          </w:tcPr>
          <w:p w:rsidR="00B177C0" w:rsidP="00206C84" w:rsidRDefault="00B177C0" w14:paraId="65A27E5D" w14:textId="77777777">
            <w:pPr>
              <w:spacing w:line="22" w:lineRule="atLeast"/>
              <w:rPr>
                <w:rFonts w:ascii="Arial" w:hAnsi="Arial" w:cs="Arial"/>
              </w:rPr>
            </w:pPr>
          </w:p>
        </w:tc>
        <w:tc>
          <w:tcPr>
            <w:tcW w:w="3261" w:type="dxa"/>
          </w:tcPr>
          <w:p w:rsidR="00B177C0" w:rsidP="00206C84" w:rsidRDefault="00B177C0" w14:paraId="385D2F74" w14:textId="77777777">
            <w:pPr>
              <w:spacing w:line="22" w:lineRule="atLeast"/>
              <w:rPr>
                <w:rFonts w:ascii="Arial" w:hAnsi="Arial" w:cs="Arial"/>
              </w:rPr>
            </w:pPr>
            <w:r>
              <w:rPr>
                <w:rFonts w:ascii="Arial" w:hAnsi="Arial" w:cs="Arial"/>
              </w:rPr>
              <w:t>Increase housing options for low-income households by developing new initiatives/ incentive schemes aim at landlords that improve affordability, security and support within the private rented sector</w:t>
            </w:r>
          </w:p>
          <w:p w:rsidR="00B177C0" w:rsidP="00206C84" w:rsidRDefault="00B177C0" w14:paraId="0CFE2531" w14:textId="77777777">
            <w:pPr>
              <w:spacing w:line="22" w:lineRule="atLeast"/>
              <w:rPr>
                <w:rFonts w:ascii="Arial" w:hAnsi="Arial" w:cs="Arial"/>
              </w:rPr>
            </w:pPr>
          </w:p>
          <w:p w:rsidR="00B177C0" w:rsidP="00206C84" w:rsidRDefault="00B177C0" w14:paraId="25D6A2CF" w14:textId="671A7A50">
            <w:pPr>
              <w:spacing w:line="22" w:lineRule="atLeast"/>
              <w:rPr>
                <w:rFonts w:ascii="Arial" w:hAnsi="Arial" w:cs="Arial"/>
              </w:rPr>
            </w:pPr>
            <w:r>
              <w:rPr>
                <w:rFonts w:ascii="Arial" w:hAnsi="Arial" w:cs="Arial"/>
              </w:rPr>
              <w:t>Monitor implementation of new schemes to ensure embed continuous learning</w:t>
            </w:r>
          </w:p>
        </w:tc>
        <w:tc>
          <w:tcPr>
            <w:tcW w:w="3402" w:type="dxa"/>
          </w:tcPr>
          <w:p w:rsidR="00B177C0" w:rsidP="00206C84" w:rsidRDefault="00B177C0" w14:paraId="2DAE52F8" w14:textId="753AC973">
            <w:pPr>
              <w:spacing w:line="22" w:lineRule="atLeast"/>
              <w:rPr>
                <w:rFonts w:ascii="Arial" w:hAnsi="Arial" w:cs="Arial"/>
              </w:rPr>
            </w:pPr>
            <w:r>
              <w:rPr>
                <w:rFonts w:ascii="Arial" w:hAnsi="Arial" w:cs="Arial"/>
              </w:rPr>
              <w:t>New tenancies in the private rented housing</w:t>
            </w:r>
          </w:p>
          <w:p w:rsidR="00B177C0" w:rsidP="00206C84" w:rsidRDefault="00B177C0" w14:paraId="36309DB1" w14:textId="77777777">
            <w:pPr>
              <w:spacing w:line="22" w:lineRule="atLeast"/>
              <w:rPr>
                <w:rFonts w:ascii="Arial" w:hAnsi="Arial" w:cs="Arial"/>
              </w:rPr>
            </w:pPr>
          </w:p>
        </w:tc>
        <w:tc>
          <w:tcPr>
            <w:tcW w:w="3260" w:type="dxa"/>
            <w:vMerge/>
          </w:tcPr>
          <w:p w:rsidR="00B177C0" w:rsidP="00206C84" w:rsidRDefault="00B177C0" w14:paraId="021E5583" w14:textId="77777777">
            <w:pPr>
              <w:spacing w:line="22" w:lineRule="atLeast"/>
              <w:rPr>
                <w:rFonts w:ascii="Arial" w:hAnsi="Arial" w:cs="Arial"/>
              </w:rPr>
            </w:pPr>
          </w:p>
        </w:tc>
        <w:tc>
          <w:tcPr>
            <w:tcW w:w="1560" w:type="dxa"/>
          </w:tcPr>
          <w:p w:rsidR="00B177C0" w:rsidP="00206C84" w:rsidRDefault="00B177C0" w14:paraId="60C33DA2" w14:textId="5979FA92">
            <w:pPr>
              <w:spacing w:line="22" w:lineRule="atLeast"/>
              <w:rPr>
                <w:rFonts w:ascii="Arial" w:hAnsi="Arial" w:cs="Arial"/>
              </w:rPr>
            </w:pPr>
            <w:r>
              <w:rPr>
                <w:rFonts w:ascii="Arial" w:hAnsi="Arial" w:cs="Arial"/>
              </w:rPr>
              <w:t>Housing Partnership Manager</w:t>
            </w:r>
          </w:p>
        </w:tc>
        <w:tc>
          <w:tcPr>
            <w:tcW w:w="1701" w:type="dxa"/>
          </w:tcPr>
          <w:p w:rsidR="00B177C0" w:rsidP="00206C84" w:rsidRDefault="00B177C0" w14:paraId="3D204ECA" w14:textId="45AE5D41">
            <w:pPr>
              <w:spacing w:line="22" w:lineRule="atLeast"/>
              <w:rPr>
                <w:rFonts w:ascii="Arial" w:hAnsi="Arial" w:cs="Arial"/>
              </w:rPr>
            </w:pPr>
            <w:r>
              <w:rPr>
                <w:rFonts w:ascii="Arial" w:hAnsi="Arial" w:cs="Arial"/>
              </w:rPr>
              <w:t>Quarterly</w:t>
            </w:r>
          </w:p>
        </w:tc>
      </w:tr>
      <w:tr w:rsidR="00B177C0" w:rsidTr="00F209D8" w14:paraId="31A491C5" w14:textId="77777777">
        <w:trPr>
          <w:cantSplit/>
        </w:trPr>
        <w:tc>
          <w:tcPr>
            <w:tcW w:w="840" w:type="dxa"/>
          </w:tcPr>
          <w:p w:rsidR="00B177C0" w:rsidP="00206C84" w:rsidRDefault="00B177C0" w14:paraId="305DDA58" w14:textId="430748A3">
            <w:pPr>
              <w:spacing w:line="22" w:lineRule="atLeast"/>
              <w:rPr>
                <w:rFonts w:ascii="Arial" w:hAnsi="Arial" w:cs="Arial"/>
              </w:rPr>
            </w:pPr>
            <w:r>
              <w:rPr>
                <w:rFonts w:ascii="Arial" w:hAnsi="Arial" w:cs="Arial"/>
              </w:rPr>
              <w:t>4</w:t>
            </w:r>
          </w:p>
        </w:tc>
        <w:tc>
          <w:tcPr>
            <w:tcW w:w="3261" w:type="dxa"/>
          </w:tcPr>
          <w:p w:rsidR="00B177C0" w:rsidP="00206C84" w:rsidRDefault="396A4929" w14:paraId="1B8E3D4F" w14:textId="016A4ABB">
            <w:pPr>
              <w:spacing w:line="22" w:lineRule="atLeast"/>
              <w:rPr>
                <w:rFonts w:ascii="Arial" w:hAnsi="Arial" w:cs="Arial"/>
              </w:rPr>
            </w:pPr>
            <w:r w:rsidRPr="09D27498">
              <w:rPr>
                <w:rFonts w:ascii="Arial" w:hAnsi="Arial" w:cs="Arial"/>
              </w:rPr>
              <w:t xml:space="preserve">Use the findings from the housing allocation policy review to develop a new policy that aligns with the current legislation, </w:t>
            </w:r>
            <w:r w:rsidRPr="09D27498" w:rsidR="739C16A6">
              <w:rPr>
                <w:rFonts w:ascii="Arial" w:hAnsi="Arial" w:cs="Arial"/>
              </w:rPr>
              <w:t xml:space="preserve">takes into consideration </w:t>
            </w:r>
            <w:r w:rsidRPr="09D27498">
              <w:rPr>
                <w:rFonts w:ascii="Arial" w:hAnsi="Arial" w:cs="Arial"/>
              </w:rPr>
              <w:t xml:space="preserve">best practice and </w:t>
            </w:r>
            <w:r w:rsidRPr="09D27498" w:rsidR="501C266A">
              <w:rPr>
                <w:rFonts w:ascii="Arial" w:hAnsi="Arial" w:cs="Arial"/>
              </w:rPr>
              <w:t xml:space="preserve">meets </w:t>
            </w:r>
            <w:r w:rsidRPr="09D27498">
              <w:rPr>
                <w:rFonts w:ascii="Arial" w:hAnsi="Arial" w:cs="Arial"/>
              </w:rPr>
              <w:t>local housing needs</w:t>
            </w:r>
          </w:p>
        </w:tc>
        <w:tc>
          <w:tcPr>
            <w:tcW w:w="3402" w:type="dxa"/>
          </w:tcPr>
          <w:p w:rsidR="00B177C0" w:rsidP="00206C84" w:rsidRDefault="00B177C0" w14:paraId="3AD2C349" w14:textId="0D497E2E">
            <w:pPr>
              <w:spacing w:line="22" w:lineRule="atLeast"/>
              <w:rPr>
                <w:rFonts w:ascii="Arial" w:hAnsi="Arial" w:cs="Arial"/>
              </w:rPr>
            </w:pPr>
            <w:r>
              <w:rPr>
                <w:rFonts w:ascii="Arial" w:hAnsi="Arial" w:cs="Arial"/>
              </w:rPr>
              <w:t>Up-to-date housing allocation policy is in place</w:t>
            </w:r>
          </w:p>
        </w:tc>
        <w:tc>
          <w:tcPr>
            <w:tcW w:w="3260" w:type="dxa"/>
          </w:tcPr>
          <w:p w:rsidR="00B177C0" w:rsidP="00206C84" w:rsidRDefault="00487F19" w14:paraId="429A9B37" w14:textId="37ABEFCE">
            <w:pPr>
              <w:spacing w:line="22" w:lineRule="atLeast"/>
              <w:rPr>
                <w:rFonts w:ascii="Arial" w:hAnsi="Arial" w:cs="Arial"/>
              </w:rPr>
            </w:pPr>
            <w:r>
              <w:rPr>
                <w:rFonts w:ascii="Arial" w:hAnsi="Arial" w:cs="Arial"/>
              </w:rPr>
              <w:t xml:space="preserve">Housing allocations </w:t>
            </w:r>
            <w:r w:rsidR="00DE65BC">
              <w:rPr>
                <w:rFonts w:ascii="Arial" w:hAnsi="Arial" w:cs="Arial"/>
              </w:rPr>
              <w:t xml:space="preserve">are compliance with relevant policy and legislation </w:t>
            </w:r>
          </w:p>
        </w:tc>
        <w:tc>
          <w:tcPr>
            <w:tcW w:w="1560" w:type="dxa"/>
          </w:tcPr>
          <w:p w:rsidR="00B177C0" w:rsidP="00206C84" w:rsidRDefault="00B177C0" w14:paraId="404162B3" w14:textId="43620939">
            <w:pPr>
              <w:spacing w:line="22" w:lineRule="atLeast"/>
              <w:rPr>
                <w:rFonts w:ascii="Arial" w:hAnsi="Arial" w:cs="Arial"/>
              </w:rPr>
            </w:pPr>
            <w:r>
              <w:rPr>
                <w:rFonts w:ascii="Arial" w:hAnsi="Arial" w:cs="Arial"/>
              </w:rPr>
              <w:t>Rapid Rehousing and Adaptations Manager</w:t>
            </w:r>
          </w:p>
        </w:tc>
        <w:tc>
          <w:tcPr>
            <w:tcW w:w="1701" w:type="dxa"/>
          </w:tcPr>
          <w:p w:rsidR="00B177C0" w:rsidP="00206C84" w:rsidRDefault="00DE65BC" w14:paraId="27743F13" w14:textId="544DDB7F">
            <w:pPr>
              <w:spacing w:line="22" w:lineRule="atLeast"/>
              <w:rPr>
                <w:rFonts w:ascii="Arial" w:hAnsi="Arial" w:cs="Arial"/>
              </w:rPr>
            </w:pPr>
            <w:r>
              <w:rPr>
                <w:rFonts w:ascii="Arial" w:hAnsi="Arial" w:cs="Arial"/>
              </w:rPr>
              <w:t>May 2026</w:t>
            </w:r>
          </w:p>
        </w:tc>
      </w:tr>
      <w:tr w:rsidR="00B177C0" w:rsidTr="00F209D8" w14:paraId="4E742873" w14:textId="77777777">
        <w:trPr>
          <w:cantSplit/>
        </w:trPr>
        <w:tc>
          <w:tcPr>
            <w:tcW w:w="840" w:type="dxa"/>
          </w:tcPr>
          <w:p w:rsidR="00B177C0" w:rsidP="00206C84" w:rsidRDefault="00B177C0" w14:paraId="3692557B" w14:textId="77777777">
            <w:pPr>
              <w:spacing w:line="22" w:lineRule="atLeast"/>
              <w:rPr>
                <w:rFonts w:ascii="Arial" w:hAnsi="Arial" w:cs="Arial"/>
              </w:rPr>
            </w:pPr>
          </w:p>
        </w:tc>
        <w:tc>
          <w:tcPr>
            <w:tcW w:w="3261" w:type="dxa"/>
          </w:tcPr>
          <w:p w:rsidR="00B177C0" w:rsidP="00206C84" w:rsidRDefault="00B177C0" w14:paraId="26E6239B" w14:textId="7D906A7A">
            <w:pPr>
              <w:spacing w:line="22" w:lineRule="atLeast"/>
              <w:rPr>
                <w:rFonts w:ascii="Arial" w:hAnsi="Arial" w:cs="Arial"/>
              </w:rPr>
            </w:pPr>
            <w:r>
              <w:rPr>
                <w:rFonts w:ascii="Arial" w:hAnsi="Arial" w:cs="Arial"/>
              </w:rPr>
              <w:t>Develop and implement a structured framework to regularly monitor and evaluation compliance to the housing allocation policy across all relevant teams and partners</w:t>
            </w:r>
          </w:p>
        </w:tc>
        <w:tc>
          <w:tcPr>
            <w:tcW w:w="3402" w:type="dxa"/>
          </w:tcPr>
          <w:p w:rsidRPr="004A3083" w:rsidR="00B177C0" w:rsidP="00206C84" w:rsidRDefault="16F457E6" w14:paraId="14828D54" w14:textId="133B9141">
            <w:pPr>
              <w:spacing w:line="22" w:lineRule="atLeast"/>
              <w:rPr>
                <w:rFonts w:ascii="Arial" w:hAnsi="Arial" w:cs="Arial"/>
              </w:rPr>
            </w:pPr>
            <w:r w:rsidRPr="004A3083">
              <w:rPr>
                <w:rFonts w:ascii="Arial" w:hAnsi="Arial" w:cs="Arial"/>
              </w:rPr>
              <w:t>100</w:t>
            </w:r>
            <w:r w:rsidRPr="004A3083" w:rsidR="5BDB6577">
              <w:rPr>
                <w:rFonts w:ascii="Arial" w:hAnsi="Arial" w:cs="Arial"/>
              </w:rPr>
              <w:t>% of allocations made in line with the policy across all partner organisations</w:t>
            </w:r>
          </w:p>
          <w:p w:rsidRPr="004A3083" w:rsidR="00B177C0" w:rsidP="00206C84" w:rsidRDefault="00B177C0" w14:paraId="76DDB0C7" w14:textId="77777777">
            <w:pPr>
              <w:spacing w:line="22" w:lineRule="atLeast"/>
              <w:rPr>
                <w:rFonts w:ascii="Arial" w:hAnsi="Arial" w:cs="Arial"/>
              </w:rPr>
            </w:pPr>
          </w:p>
          <w:p w:rsidRPr="004A3083" w:rsidR="00B177C0" w:rsidP="00206C84" w:rsidRDefault="6C70E26D" w14:paraId="6F74811E" w14:textId="6F4030BE">
            <w:pPr>
              <w:spacing w:line="22" w:lineRule="atLeast"/>
              <w:rPr>
                <w:rFonts w:ascii="Arial" w:hAnsi="Arial" w:cs="Arial"/>
              </w:rPr>
            </w:pPr>
            <w:r w:rsidRPr="004A3083">
              <w:rPr>
                <w:rFonts w:ascii="Arial" w:hAnsi="Arial" w:cs="Arial"/>
              </w:rPr>
              <w:t>10</w:t>
            </w:r>
            <w:r w:rsidRPr="004A3083" w:rsidR="5BDB6577">
              <w:rPr>
                <w:rFonts w:ascii="Arial" w:hAnsi="Arial" w:cs="Arial"/>
              </w:rPr>
              <w:t>% reduction in band 1</w:t>
            </w:r>
          </w:p>
          <w:p w:rsidRPr="004A3083" w:rsidR="00B177C0" w:rsidP="00206C84" w:rsidRDefault="00B177C0" w14:paraId="39D7044D" w14:textId="77777777">
            <w:pPr>
              <w:spacing w:line="22" w:lineRule="atLeast"/>
              <w:rPr>
                <w:rFonts w:ascii="Arial" w:hAnsi="Arial" w:cs="Arial"/>
              </w:rPr>
            </w:pPr>
          </w:p>
          <w:p w:rsidRPr="004A3083" w:rsidR="00B177C0" w:rsidP="00206C84" w:rsidRDefault="2E340B93" w14:paraId="65F0B591" w14:textId="0C9AE9D4">
            <w:pPr>
              <w:spacing w:line="22" w:lineRule="atLeast"/>
              <w:rPr>
                <w:rFonts w:ascii="Arial" w:hAnsi="Arial" w:cs="Arial"/>
              </w:rPr>
            </w:pPr>
            <w:r w:rsidRPr="004A3083">
              <w:rPr>
                <w:rFonts w:ascii="Arial" w:hAnsi="Arial" w:cs="Arial"/>
              </w:rPr>
              <w:t>10</w:t>
            </w:r>
            <w:r w:rsidRPr="004A3083" w:rsidR="5BDB6577">
              <w:rPr>
                <w:rFonts w:ascii="Arial" w:hAnsi="Arial" w:cs="Arial"/>
              </w:rPr>
              <w:t>% reduction in households on the housing waiting list</w:t>
            </w:r>
          </w:p>
        </w:tc>
        <w:tc>
          <w:tcPr>
            <w:tcW w:w="3260" w:type="dxa"/>
          </w:tcPr>
          <w:p w:rsidR="00B177C0" w:rsidP="00206C84" w:rsidRDefault="00B177C0" w14:paraId="65417F72" w14:textId="77777777">
            <w:pPr>
              <w:spacing w:line="22" w:lineRule="atLeast"/>
              <w:rPr>
                <w:rFonts w:ascii="Arial" w:hAnsi="Arial" w:cs="Arial"/>
              </w:rPr>
            </w:pPr>
            <w:r>
              <w:rPr>
                <w:rFonts w:ascii="Arial" w:hAnsi="Arial" w:cs="Arial"/>
              </w:rPr>
              <w:t>Housing allocations are consistent and in line with agreed policy</w:t>
            </w:r>
          </w:p>
          <w:p w:rsidR="00B177C0" w:rsidP="00206C84" w:rsidRDefault="00B177C0" w14:paraId="07DE7CE5" w14:textId="77777777">
            <w:pPr>
              <w:spacing w:line="22" w:lineRule="atLeast"/>
              <w:rPr>
                <w:rFonts w:ascii="Arial" w:hAnsi="Arial" w:cs="Arial"/>
              </w:rPr>
            </w:pPr>
          </w:p>
          <w:p w:rsidR="00B177C0" w:rsidP="00206C84" w:rsidRDefault="00B177C0" w14:paraId="5E7267B9" w14:textId="06A1ECCB">
            <w:pPr>
              <w:spacing w:line="22" w:lineRule="atLeast"/>
              <w:rPr>
                <w:rFonts w:ascii="Arial" w:hAnsi="Arial" w:cs="Arial"/>
              </w:rPr>
            </w:pPr>
            <w:r>
              <w:rPr>
                <w:rFonts w:ascii="Arial" w:hAnsi="Arial" w:cs="Arial"/>
              </w:rPr>
              <w:t xml:space="preserve">Clear and regular communication with all relevant teams and partners </w:t>
            </w:r>
          </w:p>
        </w:tc>
        <w:tc>
          <w:tcPr>
            <w:tcW w:w="1560" w:type="dxa"/>
          </w:tcPr>
          <w:p w:rsidR="00B177C0" w:rsidP="00206C84" w:rsidRDefault="00B177C0" w14:paraId="6601FB32" w14:textId="5C416845">
            <w:pPr>
              <w:spacing w:line="22" w:lineRule="atLeast"/>
              <w:rPr>
                <w:rFonts w:ascii="Arial" w:hAnsi="Arial" w:cs="Arial"/>
              </w:rPr>
            </w:pPr>
            <w:r>
              <w:rPr>
                <w:rFonts w:ascii="Arial" w:hAnsi="Arial" w:cs="Arial"/>
              </w:rPr>
              <w:t>Rapid Rehousing and Adaptations Manager</w:t>
            </w:r>
          </w:p>
        </w:tc>
        <w:tc>
          <w:tcPr>
            <w:tcW w:w="1701" w:type="dxa"/>
          </w:tcPr>
          <w:p w:rsidR="00B177C0" w:rsidP="00206C84" w:rsidRDefault="00B177C0" w14:paraId="750EA8F1" w14:textId="17EAAF10">
            <w:pPr>
              <w:spacing w:line="22" w:lineRule="atLeast"/>
              <w:rPr>
                <w:rFonts w:ascii="Arial" w:hAnsi="Arial" w:cs="Arial"/>
              </w:rPr>
            </w:pPr>
            <w:r>
              <w:rPr>
                <w:rFonts w:ascii="Arial" w:hAnsi="Arial" w:cs="Arial"/>
              </w:rPr>
              <w:t>Quarterly</w:t>
            </w:r>
          </w:p>
        </w:tc>
      </w:tr>
      <w:tr w:rsidR="00D543EE" w:rsidTr="00F209D8" w14:paraId="5AC29DB2" w14:textId="77777777">
        <w:trPr>
          <w:cantSplit/>
        </w:trPr>
        <w:tc>
          <w:tcPr>
            <w:tcW w:w="840" w:type="dxa"/>
          </w:tcPr>
          <w:p w:rsidR="00D543EE" w:rsidP="00206C84" w:rsidRDefault="00D543EE" w14:paraId="0889402B" w14:textId="77777777">
            <w:pPr>
              <w:spacing w:line="22" w:lineRule="atLeast"/>
              <w:rPr>
                <w:rFonts w:ascii="Arial" w:hAnsi="Arial" w:cs="Arial"/>
              </w:rPr>
            </w:pPr>
          </w:p>
        </w:tc>
        <w:tc>
          <w:tcPr>
            <w:tcW w:w="3261" w:type="dxa"/>
          </w:tcPr>
          <w:p w:rsidR="00D543EE" w:rsidP="00206C84" w:rsidRDefault="00D543EE" w14:paraId="146F5FDB" w14:textId="091B8383">
            <w:pPr>
              <w:spacing w:line="22" w:lineRule="atLeast"/>
              <w:rPr>
                <w:rFonts w:ascii="Arial" w:hAnsi="Arial" w:cs="Arial"/>
              </w:rPr>
            </w:pPr>
            <w:r>
              <w:rPr>
                <w:rFonts w:ascii="Arial" w:hAnsi="Arial" w:cs="Arial"/>
              </w:rPr>
              <w:t>Work with RSL partners to actively promote rightsizing opportunities for tenants under and over occupying properties</w:t>
            </w:r>
          </w:p>
        </w:tc>
        <w:tc>
          <w:tcPr>
            <w:tcW w:w="3402" w:type="dxa"/>
          </w:tcPr>
          <w:p w:rsidRPr="004A3083" w:rsidR="00D543EE" w:rsidP="00206C84" w:rsidRDefault="451ACF78" w14:paraId="397BCBCF" w14:textId="2E0926C9">
            <w:pPr>
              <w:spacing w:line="22" w:lineRule="atLeast"/>
              <w:rPr>
                <w:rFonts w:ascii="Arial" w:hAnsi="Arial" w:cs="Arial"/>
              </w:rPr>
            </w:pPr>
            <w:r w:rsidRPr="004A3083">
              <w:rPr>
                <w:rFonts w:ascii="Arial" w:hAnsi="Arial" w:cs="Arial"/>
              </w:rPr>
              <w:t>10</w:t>
            </w:r>
            <w:r w:rsidRPr="004A3083" w:rsidR="3806C729">
              <w:rPr>
                <w:rFonts w:ascii="Arial" w:hAnsi="Arial" w:cs="Arial"/>
              </w:rPr>
              <w:t>% reduction in band 1</w:t>
            </w:r>
          </w:p>
          <w:p w:rsidRPr="004A3083" w:rsidR="00D543EE" w:rsidP="00206C84" w:rsidRDefault="00D543EE" w14:paraId="0FBD0ACF" w14:textId="77777777">
            <w:pPr>
              <w:spacing w:line="22" w:lineRule="atLeast"/>
              <w:rPr>
                <w:rFonts w:ascii="Arial" w:hAnsi="Arial" w:cs="Arial"/>
              </w:rPr>
            </w:pPr>
          </w:p>
        </w:tc>
        <w:tc>
          <w:tcPr>
            <w:tcW w:w="3260" w:type="dxa"/>
          </w:tcPr>
          <w:p w:rsidR="00D543EE" w:rsidP="00206C84" w:rsidRDefault="00D543EE" w14:paraId="62546E28" w14:textId="3F1DE9E8">
            <w:pPr>
              <w:spacing w:line="22" w:lineRule="atLeast"/>
              <w:rPr>
                <w:rFonts w:ascii="Arial" w:hAnsi="Arial" w:cs="Arial"/>
              </w:rPr>
            </w:pPr>
            <w:r>
              <w:rPr>
                <w:rFonts w:ascii="Arial" w:hAnsi="Arial" w:cs="Arial"/>
              </w:rPr>
              <w:t>Making best use of existing housing stock and promote improved health and wellbeing</w:t>
            </w:r>
          </w:p>
        </w:tc>
        <w:tc>
          <w:tcPr>
            <w:tcW w:w="1560" w:type="dxa"/>
          </w:tcPr>
          <w:p w:rsidR="00D543EE" w:rsidP="00206C84" w:rsidRDefault="00D543EE" w14:paraId="5C12CEE5" w14:textId="78419950">
            <w:pPr>
              <w:spacing w:line="22" w:lineRule="atLeast"/>
              <w:rPr>
                <w:rFonts w:ascii="Arial" w:hAnsi="Arial" w:cs="Arial"/>
              </w:rPr>
            </w:pPr>
            <w:r>
              <w:rPr>
                <w:rFonts w:ascii="Arial" w:hAnsi="Arial" w:cs="Arial"/>
              </w:rPr>
              <w:t>Rapid Rehousing and Adaptations Manager</w:t>
            </w:r>
          </w:p>
        </w:tc>
        <w:tc>
          <w:tcPr>
            <w:tcW w:w="1701" w:type="dxa"/>
          </w:tcPr>
          <w:p w:rsidR="00D543EE" w:rsidP="00206C84" w:rsidRDefault="00D543EE" w14:paraId="58980347" w14:textId="241FD6EC">
            <w:pPr>
              <w:spacing w:line="22" w:lineRule="atLeast"/>
              <w:rPr>
                <w:rFonts w:ascii="Arial" w:hAnsi="Arial" w:cs="Arial"/>
              </w:rPr>
            </w:pPr>
            <w:r>
              <w:rPr>
                <w:rFonts w:ascii="Arial" w:hAnsi="Arial" w:cs="Arial"/>
              </w:rPr>
              <w:t>Quarterly</w:t>
            </w:r>
          </w:p>
        </w:tc>
      </w:tr>
      <w:tr w:rsidR="4FC82F45" w:rsidTr="00F209D8" w14:paraId="42F3BB4B" w14:textId="77777777">
        <w:trPr>
          <w:cantSplit/>
          <w:trHeight w:val="300"/>
        </w:trPr>
        <w:tc>
          <w:tcPr>
            <w:tcW w:w="840" w:type="dxa"/>
          </w:tcPr>
          <w:p w:rsidR="4FC82F45" w:rsidP="00206C84" w:rsidRDefault="4FC82F45" w14:paraId="36233123" w14:textId="66AB6F25">
            <w:pPr>
              <w:spacing w:line="22" w:lineRule="atLeast"/>
              <w:rPr>
                <w:rFonts w:ascii="Arial" w:hAnsi="Arial" w:cs="Arial"/>
              </w:rPr>
            </w:pPr>
          </w:p>
        </w:tc>
        <w:tc>
          <w:tcPr>
            <w:tcW w:w="3261" w:type="dxa"/>
          </w:tcPr>
          <w:p w:rsidR="7C3D5487" w:rsidP="00206C84" w:rsidRDefault="7C3D5487" w14:paraId="38EE8824" w14:textId="128D41B0">
            <w:pPr>
              <w:spacing w:line="22" w:lineRule="atLeast"/>
              <w:rPr>
                <w:rFonts w:ascii="Arial" w:hAnsi="Arial" w:cs="Arial"/>
              </w:rPr>
            </w:pPr>
            <w:r w:rsidRPr="09D27498">
              <w:rPr>
                <w:rFonts w:ascii="Arial" w:hAnsi="Arial" w:cs="Arial"/>
              </w:rPr>
              <w:t xml:space="preserve">Develop and implement a joint protocol with Children’s Services to </w:t>
            </w:r>
            <w:r w:rsidRPr="09D27498" w:rsidR="0ED4F791">
              <w:rPr>
                <w:rFonts w:ascii="Arial" w:hAnsi="Arial" w:cs="Arial"/>
              </w:rPr>
              <w:t xml:space="preserve">consider access to suitable accommodation for young people leaving local authority care and </w:t>
            </w:r>
            <w:r w:rsidRPr="09D27498" w:rsidR="6801745E">
              <w:rPr>
                <w:rFonts w:ascii="Arial" w:hAnsi="Arial" w:cs="Arial"/>
              </w:rPr>
              <w:t>unaccompanied asylum-seeking children</w:t>
            </w:r>
          </w:p>
        </w:tc>
        <w:tc>
          <w:tcPr>
            <w:tcW w:w="3402" w:type="dxa"/>
          </w:tcPr>
          <w:p w:rsidR="4FC82F45" w:rsidP="00206C84" w:rsidRDefault="6801745E" w14:paraId="6BE8A91A" w14:textId="492A7EED">
            <w:pPr>
              <w:spacing w:line="22" w:lineRule="atLeast"/>
              <w:rPr>
                <w:rFonts w:ascii="Arial" w:hAnsi="Arial" w:cs="Arial"/>
              </w:rPr>
            </w:pPr>
            <w:r w:rsidRPr="09D27498">
              <w:rPr>
                <w:rFonts w:ascii="Arial" w:hAnsi="Arial" w:cs="Arial"/>
              </w:rPr>
              <w:t>Protocol in place</w:t>
            </w:r>
          </w:p>
        </w:tc>
        <w:tc>
          <w:tcPr>
            <w:tcW w:w="3260" w:type="dxa"/>
          </w:tcPr>
          <w:p w:rsidR="4FC82F45" w:rsidP="00206C84" w:rsidRDefault="6801745E" w14:paraId="05077F70" w14:textId="70B7CE34">
            <w:pPr>
              <w:spacing w:line="22" w:lineRule="atLeast"/>
              <w:rPr>
                <w:rFonts w:ascii="Arial" w:hAnsi="Arial" w:cs="Arial"/>
              </w:rPr>
            </w:pPr>
            <w:r w:rsidRPr="09D27498">
              <w:rPr>
                <w:rFonts w:ascii="Arial" w:hAnsi="Arial" w:cs="Arial"/>
              </w:rPr>
              <w:t>Clear and regular communication with all relevant teams and partners</w:t>
            </w:r>
          </w:p>
          <w:p w:rsidR="4FC82F45" w:rsidP="00206C84" w:rsidRDefault="4FC82F45" w14:paraId="646F2383" w14:textId="7CFA61E7">
            <w:pPr>
              <w:spacing w:line="22" w:lineRule="atLeast"/>
              <w:rPr>
                <w:rFonts w:ascii="Arial" w:hAnsi="Arial" w:cs="Arial"/>
              </w:rPr>
            </w:pPr>
          </w:p>
        </w:tc>
        <w:tc>
          <w:tcPr>
            <w:tcW w:w="1560" w:type="dxa"/>
          </w:tcPr>
          <w:p w:rsidR="4FC82F45" w:rsidP="00206C84" w:rsidRDefault="6801745E" w14:paraId="55964B00" w14:textId="43620939">
            <w:pPr>
              <w:spacing w:line="22" w:lineRule="atLeast"/>
              <w:rPr>
                <w:rFonts w:ascii="Arial" w:hAnsi="Arial" w:cs="Arial"/>
              </w:rPr>
            </w:pPr>
            <w:r w:rsidRPr="09D27498">
              <w:rPr>
                <w:rFonts w:ascii="Arial" w:hAnsi="Arial" w:cs="Arial"/>
              </w:rPr>
              <w:t>Rapid Rehousing and Adaptations Manager</w:t>
            </w:r>
          </w:p>
          <w:p w:rsidR="4FC82F45" w:rsidP="00206C84" w:rsidRDefault="4FC82F45" w14:paraId="37AD8991" w14:textId="74F966BB">
            <w:pPr>
              <w:spacing w:line="22" w:lineRule="atLeast"/>
              <w:rPr>
                <w:rFonts w:ascii="Arial" w:hAnsi="Arial" w:cs="Arial"/>
              </w:rPr>
            </w:pPr>
          </w:p>
        </w:tc>
        <w:tc>
          <w:tcPr>
            <w:tcW w:w="1701" w:type="dxa"/>
          </w:tcPr>
          <w:p w:rsidR="4FC82F45" w:rsidP="00206C84" w:rsidRDefault="6801745E" w14:paraId="069E7528" w14:textId="2EADCBD0">
            <w:pPr>
              <w:spacing w:line="22" w:lineRule="atLeast"/>
              <w:rPr>
                <w:rFonts w:ascii="Arial" w:hAnsi="Arial" w:cs="Arial"/>
              </w:rPr>
            </w:pPr>
            <w:r w:rsidRPr="09D27498">
              <w:rPr>
                <w:rFonts w:ascii="Arial" w:hAnsi="Arial" w:cs="Arial"/>
              </w:rPr>
              <w:t>June 2026</w:t>
            </w:r>
          </w:p>
        </w:tc>
      </w:tr>
    </w:tbl>
    <w:p w:rsidRPr="001943B4" w:rsidR="001943B4" w:rsidP="001068DF" w:rsidRDefault="001943B4" w14:paraId="4976D223" w14:textId="77777777">
      <w:pPr>
        <w:rPr>
          <w:rFonts w:ascii="Arial" w:hAnsi="Arial" w:cs="Arial"/>
        </w:rPr>
      </w:pPr>
    </w:p>
    <w:sectPr w:rsidRPr="001943B4" w:rsidR="001943B4" w:rsidSect="00694E7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90DE4" w14:textId="77777777" w:rsidR="00310B02" w:rsidRDefault="00310B02" w:rsidP="006C27B4">
      <w:pPr>
        <w:spacing w:after="0" w:line="240" w:lineRule="auto"/>
      </w:pPr>
      <w:r>
        <w:separator/>
      </w:r>
    </w:p>
  </w:endnote>
  <w:endnote w:type="continuationSeparator" w:id="0">
    <w:p w14:paraId="48F4E723" w14:textId="77777777" w:rsidR="00310B02" w:rsidRDefault="00310B02" w:rsidP="006C2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824583"/>
      <w:docPartObj>
        <w:docPartGallery w:val="Page Numbers (Bottom of Page)"/>
        <w:docPartUnique/>
      </w:docPartObj>
    </w:sdtPr>
    <w:sdtEndPr>
      <w:rPr>
        <w:rFonts w:ascii="Arial" w:hAnsi="Arial" w:cs="Arial"/>
        <w:noProof/>
        <w:color w:val="1BAF90"/>
      </w:rPr>
    </w:sdtEndPr>
    <w:sdtContent>
      <w:p w14:paraId="3CBF8A30" w14:textId="384F48B8" w:rsidR="007F3970" w:rsidRPr="007F3970" w:rsidRDefault="007F3970" w:rsidP="007F3970">
        <w:pPr>
          <w:pStyle w:val="Footer"/>
          <w:jc w:val="right"/>
          <w:rPr>
            <w:rFonts w:ascii="Arial" w:hAnsi="Arial" w:cs="Arial"/>
            <w:color w:val="1BAF90"/>
          </w:rPr>
        </w:pPr>
        <w:r w:rsidRPr="007F3970">
          <w:rPr>
            <w:rFonts w:ascii="Arial" w:hAnsi="Arial" w:cs="Arial"/>
            <w:color w:val="1BAF90"/>
          </w:rPr>
          <w:fldChar w:fldCharType="begin"/>
        </w:r>
        <w:r w:rsidRPr="007F3970">
          <w:rPr>
            <w:rFonts w:ascii="Arial" w:hAnsi="Arial" w:cs="Arial"/>
            <w:color w:val="1BAF90"/>
          </w:rPr>
          <w:instrText xml:space="preserve"> PAGE   \* MERGEFORMAT </w:instrText>
        </w:r>
        <w:r w:rsidRPr="007F3970">
          <w:rPr>
            <w:rFonts w:ascii="Arial" w:hAnsi="Arial" w:cs="Arial"/>
            <w:color w:val="1BAF90"/>
          </w:rPr>
          <w:fldChar w:fldCharType="separate"/>
        </w:r>
        <w:r w:rsidRPr="007F3970">
          <w:rPr>
            <w:rFonts w:ascii="Arial" w:hAnsi="Arial" w:cs="Arial"/>
            <w:color w:val="1BAF90"/>
          </w:rPr>
          <w:t>1</w:t>
        </w:r>
        <w:r w:rsidRPr="007F3970">
          <w:rPr>
            <w:rFonts w:ascii="Arial" w:hAnsi="Arial" w:cs="Arial"/>
            <w:noProof/>
            <w:color w:val="1BAF90"/>
          </w:rPr>
          <w:fldChar w:fldCharType="end"/>
        </w:r>
      </w:p>
    </w:sdtContent>
  </w:sdt>
  <w:p w14:paraId="512B6E82" w14:textId="2EF9982A" w:rsidR="007F3970" w:rsidRDefault="007F3970" w:rsidP="007F39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1E1FE" w14:textId="77777777" w:rsidR="00310B02" w:rsidRDefault="00310B02" w:rsidP="006C27B4">
      <w:pPr>
        <w:spacing w:after="0" w:line="240" w:lineRule="auto"/>
      </w:pPr>
      <w:r>
        <w:separator/>
      </w:r>
    </w:p>
  </w:footnote>
  <w:footnote w:type="continuationSeparator" w:id="0">
    <w:p w14:paraId="4A88CCC3" w14:textId="77777777" w:rsidR="00310B02" w:rsidRDefault="00310B02" w:rsidP="006C2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A36"/>
    <w:multiLevelType w:val="hybridMultilevel"/>
    <w:tmpl w:val="4F12F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3F7E"/>
    <w:multiLevelType w:val="hybridMultilevel"/>
    <w:tmpl w:val="B2A84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441875"/>
    <w:multiLevelType w:val="hybridMultilevel"/>
    <w:tmpl w:val="0B2CF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F5767C"/>
    <w:multiLevelType w:val="hybridMultilevel"/>
    <w:tmpl w:val="A45C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A60AA1"/>
    <w:multiLevelType w:val="hybridMultilevel"/>
    <w:tmpl w:val="C6B4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DB0E0B"/>
    <w:multiLevelType w:val="hybridMultilevel"/>
    <w:tmpl w:val="FD486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026997"/>
    <w:multiLevelType w:val="hybridMultilevel"/>
    <w:tmpl w:val="05E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EF6CBB"/>
    <w:multiLevelType w:val="hybridMultilevel"/>
    <w:tmpl w:val="23467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042825">
    <w:abstractNumId w:val="7"/>
  </w:num>
  <w:num w:numId="2" w16cid:durableId="697269277">
    <w:abstractNumId w:val="4"/>
  </w:num>
  <w:num w:numId="3" w16cid:durableId="385449269">
    <w:abstractNumId w:val="2"/>
  </w:num>
  <w:num w:numId="4" w16cid:durableId="1176069860">
    <w:abstractNumId w:val="0"/>
  </w:num>
  <w:num w:numId="5" w16cid:durableId="1445419634">
    <w:abstractNumId w:val="1"/>
  </w:num>
  <w:num w:numId="6" w16cid:durableId="352536869">
    <w:abstractNumId w:val="3"/>
  </w:num>
  <w:num w:numId="7" w16cid:durableId="104470394">
    <w:abstractNumId w:val="5"/>
  </w:num>
  <w:num w:numId="8" w16cid:durableId="1424885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AA"/>
    <w:rsid w:val="00010085"/>
    <w:rsid w:val="00012514"/>
    <w:rsid w:val="000241F3"/>
    <w:rsid w:val="0004621C"/>
    <w:rsid w:val="00051C8A"/>
    <w:rsid w:val="00057B9B"/>
    <w:rsid w:val="00057F37"/>
    <w:rsid w:val="00075E99"/>
    <w:rsid w:val="00081FA2"/>
    <w:rsid w:val="00090FEE"/>
    <w:rsid w:val="000962A5"/>
    <w:rsid w:val="000A4635"/>
    <w:rsid w:val="000B04A4"/>
    <w:rsid w:val="000B2F9F"/>
    <w:rsid w:val="000B6D08"/>
    <w:rsid w:val="000C4EBD"/>
    <w:rsid w:val="000F50FE"/>
    <w:rsid w:val="001013B8"/>
    <w:rsid w:val="001068DF"/>
    <w:rsid w:val="00117CBE"/>
    <w:rsid w:val="00131AA5"/>
    <w:rsid w:val="0013219C"/>
    <w:rsid w:val="00132B46"/>
    <w:rsid w:val="00134162"/>
    <w:rsid w:val="00140F02"/>
    <w:rsid w:val="001438F8"/>
    <w:rsid w:val="001641CE"/>
    <w:rsid w:val="00165B43"/>
    <w:rsid w:val="00176440"/>
    <w:rsid w:val="001764CE"/>
    <w:rsid w:val="00185AFB"/>
    <w:rsid w:val="001943B4"/>
    <w:rsid w:val="001C3173"/>
    <w:rsid w:val="001C7238"/>
    <w:rsid w:val="001D5EC0"/>
    <w:rsid w:val="001D61B5"/>
    <w:rsid w:val="001E32B9"/>
    <w:rsid w:val="001E6604"/>
    <w:rsid w:val="001E7DC5"/>
    <w:rsid w:val="00203CF8"/>
    <w:rsid w:val="00206C84"/>
    <w:rsid w:val="002077CD"/>
    <w:rsid w:val="00207A3D"/>
    <w:rsid w:val="00210756"/>
    <w:rsid w:val="002127FE"/>
    <w:rsid w:val="00212C90"/>
    <w:rsid w:val="0021360A"/>
    <w:rsid w:val="00214B48"/>
    <w:rsid w:val="00220651"/>
    <w:rsid w:val="00232671"/>
    <w:rsid w:val="00233348"/>
    <w:rsid w:val="002412B3"/>
    <w:rsid w:val="00245723"/>
    <w:rsid w:val="00247803"/>
    <w:rsid w:val="00247A63"/>
    <w:rsid w:val="00247B52"/>
    <w:rsid w:val="00252813"/>
    <w:rsid w:val="00255724"/>
    <w:rsid w:val="00266755"/>
    <w:rsid w:val="00273433"/>
    <w:rsid w:val="00277B9E"/>
    <w:rsid w:val="002822FA"/>
    <w:rsid w:val="00287D19"/>
    <w:rsid w:val="00290EF3"/>
    <w:rsid w:val="00290FBC"/>
    <w:rsid w:val="002A094B"/>
    <w:rsid w:val="002A1055"/>
    <w:rsid w:val="002A2F21"/>
    <w:rsid w:val="002C0361"/>
    <w:rsid w:val="002C6356"/>
    <w:rsid w:val="002C714A"/>
    <w:rsid w:val="002D79BB"/>
    <w:rsid w:val="002E754B"/>
    <w:rsid w:val="002E77DE"/>
    <w:rsid w:val="002E78EC"/>
    <w:rsid w:val="002F6476"/>
    <w:rsid w:val="0030186F"/>
    <w:rsid w:val="00303A37"/>
    <w:rsid w:val="00306B35"/>
    <w:rsid w:val="00310B02"/>
    <w:rsid w:val="00313012"/>
    <w:rsid w:val="0031342F"/>
    <w:rsid w:val="00314B02"/>
    <w:rsid w:val="00320D41"/>
    <w:rsid w:val="0032124A"/>
    <w:rsid w:val="003262BE"/>
    <w:rsid w:val="003403D9"/>
    <w:rsid w:val="00341E71"/>
    <w:rsid w:val="00351BCA"/>
    <w:rsid w:val="00361DEA"/>
    <w:rsid w:val="003637E1"/>
    <w:rsid w:val="00363E5B"/>
    <w:rsid w:val="00376143"/>
    <w:rsid w:val="003972F3"/>
    <w:rsid w:val="003977D5"/>
    <w:rsid w:val="003A4974"/>
    <w:rsid w:val="003A52E9"/>
    <w:rsid w:val="003D7A2E"/>
    <w:rsid w:val="003E188D"/>
    <w:rsid w:val="003E5936"/>
    <w:rsid w:val="00402076"/>
    <w:rsid w:val="004040BA"/>
    <w:rsid w:val="0040702E"/>
    <w:rsid w:val="004107C7"/>
    <w:rsid w:val="004139E5"/>
    <w:rsid w:val="004206F4"/>
    <w:rsid w:val="00422518"/>
    <w:rsid w:val="0043315C"/>
    <w:rsid w:val="0043653B"/>
    <w:rsid w:val="004365F1"/>
    <w:rsid w:val="00445BD6"/>
    <w:rsid w:val="004470B6"/>
    <w:rsid w:val="00450A26"/>
    <w:rsid w:val="00461D14"/>
    <w:rsid w:val="004736A8"/>
    <w:rsid w:val="00487F19"/>
    <w:rsid w:val="004A2B19"/>
    <w:rsid w:val="004A3083"/>
    <w:rsid w:val="004A640D"/>
    <w:rsid w:val="004B0138"/>
    <w:rsid w:val="004B3D68"/>
    <w:rsid w:val="004C32B2"/>
    <w:rsid w:val="004C392D"/>
    <w:rsid w:val="004D7136"/>
    <w:rsid w:val="004E1ACA"/>
    <w:rsid w:val="004E2957"/>
    <w:rsid w:val="004F210F"/>
    <w:rsid w:val="00502701"/>
    <w:rsid w:val="005031E3"/>
    <w:rsid w:val="005105EF"/>
    <w:rsid w:val="00516B85"/>
    <w:rsid w:val="00524E63"/>
    <w:rsid w:val="00541CEC"/>
    <w:rsid w:val="00551C89"/>
    <w:rsid w:val="005654A0"/>
    <w:rsid w:val="005711CF"/>
    <w:rsid w:val="00575023"/>
    <w:rsid w:val="0057588E"/>
    <w:rsid w:val="00581F75"/>
    <w:rsid w:val="005847FE"/>
    <w:rsid w:val="00586465"/>
    <w:rsid w:val="00594DC8"/>
    <w:rsid w:val="00596061"/>
    <w:rsid w:val="005A150E"/>
    <w:rsid w:val="005A33BF"/>
    <w:rsid w:val="005A3E85"/>
    <w:rsid w:val="005B042F"/>
    <w:rsid w:val="005B0558"/>
    <w:rsid w:val="005B26E5"/>
    <w:rsid w:val="005C62AD"/>
    <w:rsid w:val="005D1E97"/>
    <w:rsid w:val="005D636F"/>
    <w:rsid w:val="005E035E"/>
    <w:rsid w:val="005E4345"/>
    <w:rsid w:val="005E7AD6"/>
    <w:rsid w:val="005F2469"/>
    <w:rsid w:val="00600659"/>
    <w:rsid w:val="006110A3"/>
    <w:rsid w:val="00623FA4"/>
    <w:rsid w:val="00627DA0"/>
    <w:rsid w:val="006405B1"/>
    <w:rsid w:val="00643FC8"/>
    <w:rsid w:val="0064638B"/>
    <w:rsid w:val="006578DA"/>
    <w:rsid w:val="00660A0A"/>
    <w:rsid w:val="00662B2E"/>
    <w:rsid w:val="00686835"/>
    <w:rsid w:val="00694E7D"/>
    <w:rsid w:val="0069529C"/>
    <w:rsid w:val="006A30B9"/>
    <w:rsid w:val="006A38B2"/>
    <w:rsid w:val="006A6FE5"/>
    <w:rsid w:val="006B693B"/>
    <w:rsid w:val="006C1D5E"/>
    <w:rsid w:val="006C27B4"/>
    <w:rsid w:val="006D4342"/>
    <w:rsid w:val="006E5992"/>
    <w:rsid w:val="006E6939"/>
    <w:rsid w:val="006F4596"/>
    <w:rsid w:val="00705A6F"/>
    <w:rsid w:val="007075FA"/>
    <w:rsid w:val="007153B1"/>
    <w:rsid w:val="00724735"/>
    <w:rsid w:val="007359FF"/>
    <w:rsid w:val="007401AC"/>
    <w:rsid w:val="007428F9"/>
    <w:rsid w:val="00756092"/>
    <w:rsid w:val="00780B0A"/>
    <w:rsid w:val="00785DAA"/>
    <w:rsid w:val="007A5626"/>
    <w:rsid w:val="007B491D"/>
    <w:rsid w:val="007B7FA0"/>
    <w:rsid w:val="007C11C2"/>
    <w:rsid w:val="007D55E4"/>
    <w:rsid w:val="007E14F5"/>
    <w:rsid w:val="007E3A43"/>
    <w:rsid w:val="007E3B08"/>
    <w:rsid w:val="007E6C35"/>
    <w:rsid w:val="007F3970"/>
    <w:rsid w:val="00801104"/>
    <w:rsid w:val="00805FB8"/>
    <w:rsid w:val="0080665D"/>
    <w:rsid w:val="008074FB"/>
    <w:rsid w:val="00810CC8"/>
    <w:rsid w:val="008112F4"/>
    <w:rsid w:val="00822470"/>
    <w:rsid w:val="0083619E"/>
    <w:rsid w:val="008364B1"/>
    <w:rsid w:val="00856094"/>
    <w:rsid w:val="00866F49"/>
    <w:rsid w:val="0086723C"/>
    <w:rsid w:val="00867C60"/>
    <w:rsid w:val="00871C49"/>
    <w:rsid w:val="00890629"/>
    <w:rsid w:val="0089199D"/>
    <w:rsid w:val="00897421"/>
    <w:rsid w:val="008A0F2A"/>
    <w:rsid w:val="008A2ACA"/>
    <w:rsid w:val="008A5277"/>
    <w:rsid w:val="008B1D72"/>
    <w:rsid w:val="008B4B06"/>
    <w:rsid w:val="008C021B"/>
    <w:rsid w:val="008C60A9"/>
    <w:rsid w:val="008C7B92"/>
    <w:rsid w:val="008E0087"/>
    <w:rsid w:val="008E0BB6"/>
    <w:rsid w:val="008E1E10"/>
    <w:rsid w:val="008E24EA"/>
    <w:rsid w:val="008E2636"/>
    <w:rsid w:val="008E6596"/>
    <w:rsid w:val="008F13C7"/>
    <w:rsid w:val="008F4962"/>
    <w:rsid w:val="008F528B"/>
    <w:rsid w:val="00922671"/>
    <w:rsid w:val="00932C25"/>
    <w:rsid w:val="0094499A"/>
    <w:rsid w:val="00945CCE"/>
    <w:rsid w:val="0094658D"/>
    <w:rsid w:val="00947B2D"/>
    <w:rsid w:val="00957143"/>
    <w:rsid w:val="009638D1"/>
    <w:rsid w:val="00977EAB"/>
    <w:rsid w:val="0099452F"/>
    <w:rsid w:val="00997DE5"/>
    <w:rsid w:val="009A667A"/>
    <w:rsid w:val="009A6B4F"/>
    <w:rsid w:val="009B4F01"/>
    <w:rsid w:val="009B54D5"/>
    <w:rsid w:val="009B55A9"/>
    <w:rsid w:val="009C0A8B"/>
    <w:rsid w:val="009C2500"/>
    <w:rsid w:val="009D6D12"/>
    <w:rsid w:val="009D7D0A"/>
    <w:rsid w:val="009E300D"/>
    <w:rsid w:val="009E416B"/>
    <w:rsid w:val="009E52C8"/>
    <w:rsid w:val="00A02215"/>
    <w:rsid w:val="00A26440"/>
    <w:rsid w:val="00A4317C"/>
    <w:rsid w:val="00A47D2C"/>
    <w:rsid w:val="00A52172"/>
    <w:rsid w:val="00A540AA"/>
    <w:rsid w:val="00A55ADD"/>
    <w:rsid w:val="00A55C3C"/>
    <w:rsid w:val="00A60450"/>
    <w:rsid w:val="00A63375"/>
    <w:rsid w:val="00A70BC3"/>
    <w:rsid w:val="00A77005"/>
    <w:rsid w:val="00A86D90"/>
    <w:rsid w:val="00AA13BC"/>
    <w:rsid w:val="00AA5931"/>
    <w:rsid w:val="00AB01BF"/>
    <w:rsid w:val="00AB76C5"/>
    <w:rsid w:val="00AC2D36"/>
    <w:rsid w:val="00AC3893"/>
    <w:rsid w:val="00AD2E23"/>
    <w:rsid w:val="00AD5A69"/>
    <w:rsid w:val="00AD7C92"/>
    <w:rsid w:val="00AE2792"/>
    <w:rsid w:val="00AF2D2F"/>
    <w:rsid w:val="00B03CFA"/>
    <w:rsid w:val="00B122E1"/>
    <w:rsid w:val="00B177C0"/>
    <w:rsid w:val="00B24D0D"/>
    <w:rsid w:val="00B2797B"/>
    <w:rsid w:val="00B36320"/>
    <w:rsid w:val="00B41ED1"/>
    <w:rsid w:val="00B47F0E"/>
    <w:rsid w:val="00B60015"/>
    <w:rsid w:val="00B6675B"/>
    <w:rsid w:val="00B756D7"/>
    <w:rsid w:val="00B85969"/>
    <w:rsid w:val="00B8758B"/>
    <w:rsid w:val="00BA3149"/>
    <w:rsid w:val="00BA6CF2"/>
    <w:rsid w:val="00BB4D02"/>
    <w:rsid w:val="00BB4FF6"/>
    <w:rsid w:val="00BC247B"/>
    <w:rsid w:val="00BC46D4"/>
    <w:rsid w:val="00BE7316"/>
    <w:rsid w:val="00BF28B7"/>
    <w:rsid w:val="00BF6983"/>
    <w:rsid w:val="00C101AB"/>
    <w:rsid w:val="00C2210A"/>
    <w:rsid w:val="00C2376C"/>
    <w:rsid w:val="00C2535C"/>
    <w:rsid w:val="00C372CE"/>
    <w:rsid w:val="00C45278"/>
    <w:rsid w:val="00C579FE"/>
    <w:rsid w:val="00C61E6C"/>
    <w:rsid w:val="00C63B76"/>
    <w:rsid w:val="00C66218"/>
    <w:rsid w:val="00C67906"/>
    <w:rsid w:val="00C7364E"/>
    <w:rsid w:val="00C94CD6"/>
    <w:rsid w:val="00C9623E"/>
    <w:rsid w:val="00CA46D9"/>
    <w:rsid w:val="00CB4A2C"/>
    <w:rsid w:val="00CB5ACE"/>
    <w:rsid w:val="00CB64D2"/>
    <w:rsid w:val="00CC03CB"/>
    <w:rsid w:val="00CD01D2"/>
    <w:rsid w:val="00CE2B50"/>
    <w:rsid w:val="00CE5414"/>
    <w:rsid w:val="00CE7C2B"/>
    <w:rsid w:val="00CF0C2E"/>
    <w:rsid w:val="00CF46D5"/>
    <w:rsid w:val="00CF7520"/>
    <w:rsid w:val="00D03A22"/>
    <w:rsid w:val="00D06BC5"/>
    <w:rsid w:val="00D22316"/>
    <w:rsid w:val="00D23487"/>
    <w:rsid w:val="00D31E83"/>
    <w:rsid w:val="00D413C7"/>
    <w:rsid w:val="00D451B3"/>
    <w:rsid w:val="00D45F26"/>
    <w:rsid w:val="00D516DD"/>
    <w:rsid w:val="00D543EE"/>
    <w:rsid w:val="00D6668E"/>
    <w:rsid w:val="00D704AC"/>
    <w:rsid w:val="00D70E14"/>
    <w:rsid w:val="00D72011"/>
    <w:rsid w:val="00D73DC0"/>
    <w:rsid w:val="00D80A6D"/>
    <w:rsid w:val="00D84898"/>
    <w:rsid w:val="00D84F15"/>
    <w:rsid w:val="00DA527B"/>
    <w:rsid w:val="00DD5859"/>
    <w:rsid w:val="00DD70A5"/>
    <w:rsid w:val="00DE0428"/>
    <w:rsid w:val="00DE65BC"/>
    <w:rsid w:val="00DF02EC"/>
    <w:rsid w:val="00DF33A2"/>
    <w:rsid w:val="00DF3E93"/>
    <w:rsid w:val="00DF4462"/>
    <w:rsid w:val="00DF4F6B"/>
    <w:rsid w:val="00DF7711"/>
    <w:rsid w:val="00DF8C46"/>
    <w:rsid w:val="00E00381"/>
    <w:rsid w:val="00E064E5"/>
    <w:rsid w:val="00E25A50"/>
    <w:rsid w:val="00E260A0"/>
    <w:rsid w:val="00E30B95"/>
    <w:rsid w:val="00E34491"/>
    <w:rsid w:val="00E523C0"/>
    <w:rsid w:val="00E537E8"/>
    <w:rsid w:val="00E6484D"/>
    <w:rsid w:val="00E8359F"/>
    <w:rsid w:val="00E83C79"/>
    <w:rsid w:val="00E95768"/>
    <w:rsid w:val="00EA462D"/>
    <w:rsid w:val="00EA4D78"/>
    <w:rsid w:val="00EB203F"/>
    <w:rsid w:val="00EB276A"/>
    <w:rsid w:val="00EB5D0C"/>
    <w:rsid w:val="00EC5C08"/>
    <w:rsid w:val="00EE31BC"/>
    <w:rsid w:val="00F02EDB"/>
    <w:rsid w:val="00F06EF2"/>
    <w:rsid w:val="00F209D8"/>
    <w:rsid w:val="00F23D23"/>
    <w:rsid w:val="00F31BB3"/>
    <w:rsid w:val="00F43730"/>
    <w:rsid w:val="00F51B06"/>
    <w:rsid w:val="00F63EBD"/>
    <w:rsid w:val="00F704D5"/>
    <w:rsid w:val="00F81376"/>
    <w:rsid w:val="00F90461"/>
    <w:rsid w:val="00FA238E"/>
    <w:rsid w:val="00FA24FC"/>
    <w:rsid w:val="00FB6677"/>
    <w:rsid w:val="00FB6EDE"/>
    <w:rsid w:val="00FB73F9"/>
    <w:rsid w:val="00FC48B6"/>
    <w:rsid w:val="00FC585C"/>
    <w:rsid w:val="00FC62B0"/>
    <w:rsid w:val="00FD59BA"/>
    <w:rsid w:val="00FD6CC4"/>
    <w:rsid w:val="04756D6A"/>
    <w:rsid w:val="05C4D40B"/>
    <w:rsid w:val="06679428"/>
    <w:rsid w:val="066CA57E"/>
    <w:rsid w:val="093694FA"/>
    <w:rsid w:val="095C0D10"/>
    <w:rsid w:val="09D27498"/>
    <w:rsid w:val="0BD94502"/>
    <w:rsid w:val="0CABB90D"/>
    <w:rsid w:val="0D27C863"/>
    <w:rsid w:val="0E68B73C"/>
    <w:rsid w:val="0ED4F791"/>
    <w:rsid w:val="10013412"/>
    <w:rsid w:val="1003756D"/>
    <w:rsid w:val="11110251"/>
    <w:rsid w:val="1246C96A"/>
    <w:rsid w:val="12B0573C"/>
    <w:rsid w:val="13CC3B0E"/>
    <w:rsid w:val="14A88804"/>
    <w:rsid w:val="14CF5200"/>
    <w:rsid w:val="15B74CBD"/>
    <w:rsid w:val="16DA67E1"/>
    <w:rsid w:val="16F457E6"/>
    <w:rsid w:val="17536912"/>
    <w:rsid w:val="17B00900"/>
    <w:rsid w:val="17FFF3EA"/>
    <w:rsid w:val="196DC5D0"/>
    <w:rsid w:val="1B51694E"/>
    <w:rsid w:val="1C50A248"/>
    <w:rsid w:val="1CEAABE8"/>
    <w:rsid w:val="1E5B2E14"/>
    <w:rsid w:val="20AAE94D"/>
    <w:rsid w:val="20D5171C"/>
    <w:rsid w:val="2113D5B0"/>
    <w:rsid w:val="211B68B9"/>
    <w:rsid w:val="23A52A5F"/>
    <w:rsid w:val="243E75F4"/>
    <w:rsid w:val="24930E32"/>
    <w:rsid w:val="24ACB02E"/>
    <w:rsid w:val="260E706B"/>
    <w:rsid w:val="2684B72B"/>
    <w:rsid w:val="2906D56F"/>
    <w:rsid w:val="2B7B2707"/>
    <w:rsid w:val="2C9DC490"/>
    <w:rsid w:val="2E1E6534"/>
    <w:rsid w:val="2E340B93"/>
    <w:rsid w:val="2F251ABA"/>
    <w:rsid w:val="302B5C49"/>
    <w:rsid w:val="30CDFD26"/>
    <w:rsid w:val="323E2E64"/>
    <w:rsid w:val="32DADDCE"/>
    <w:rsid w:val="33C5C728"/>
    <w:rsid w:val="3514E2DF"/>
    <w:rsid w:val="358DC030"/>
    <w:rsid w:val="37470466"/>
    <w:rsid w:val="3806C729"/>
    <w:rsid w:val="38689071"/>
    <w:rsid w:val="396A4929"/>
    <w:rsid w:val="39BCCDFF"/>
    <w:rsid w:val="3A2DF20E"/>
    <w:rsid w:val="3BA04913"/>
    <w:rsid w:val="3C742CAF"/>
    <w:rsid w:val="3CB40542"/>
    <w:rsid w:val="3D224E3C"/>
    <w:rsid w:val="3DD5053F"/>
    <w:rsid w:val="3FFAF8BF"/>
    <w:rsid w:val="42071165"/>
    <w:rsid w:val="4294C011"/>
    <w:rsid w:val="433A69B7"/>
    <w:rsid w:val="451ACF78"/>
    <w:rsid w:val="4761BD2D"/>
    <w:rsid w:val="479E6E93"/>
    <w:rsid w:val="48731A46"/>
    <w:rsid w:val="48F998BF"/>
    <w:rsid w:val="4AFAF488"/>
    <w:rsid w:val="4B453B9A"/>
    <w:rsid w:val="4BB6B7E6"/>
    <w:rsid w:val="4BED7314"/>
    <w:rsid w:val="4D38CA35"/>
    <w:rsid w:val="4E03B7F0"/>
    <w:rsid w:val="4E6936BE"/>
    <w:rsid w:val="4F7F21F9"/>
    <w:rsid w:val="4FC82F45"/>
    <w:rsid w:val="501C266A"/>
    <w:rsid w:val="51AEB742"/>
    <w:rsid w:val="51CC2A10"/>
    <w:rsid w:val="528E5BC0"/>
    <w:rsid w:val="529F5D7A"/>
    <w:rsid w:val="533CE806"/>
    <w:rsid w:val="5493F56C"/>
    <w:rsid w:val="555593B4"/>
    <w:rsid w:val="55CFC410"/>
    <w:rsid w:val="55ED5FEC"/>
    <w:rsid w:val="56E17764"/>
    <w:rsid w:val="56E7756F"/>
    <w:rsid w:val="5726E454"/>
    <w:rsid w:val="574394C0"/>
    <w:rsid w:val="57BCB21D"/>
    <w:rsid w:val="588C6E84"/>
    <w:rsid w:val="593CF259"/>
    <w:rsid w:val="59BAAE74"/>
    <w:rsid w:val="5A587A74"/>
    <w:rsid w:val="5A67A0BA"/>
    <w:rsid w:val="5A8A1670"/>
    <w:rsid w:val="5AF55CD1"/>
    <w:rsid w:val="5B25885E"/>
    <w:rsid w:val="5BDB6577"/>
    <w:rsid w:val="5C1F55BC"/>
    <w:rsid w:val="5CCAF516"/>
    <w:rsid w:val="5D161106"/>
    <w:rsid w:val="5EA9F556"/>
    <w:rsid w:val="60EAB5E2"/>
    <w:rsid w:val="64832DDA"/>
    <w:rsid w:val="649E52F8"/>
    <w:rsid w:val="6801745E"/>
    <w:rsid w:val="6A5E4F78"/>
    <w:rsid w:val="6AC2013D"/>
    <w:rsid w:val="6B465725"/>
    <w:rsid w:val="6BCCB057"/>
    <w:rsid w:val="6C70E26D"/>
    <w:rsid w:val="6CFFCDFF"/>
    <w:rsid w:val="6D139470"/>
    <w:rsid w:val="6E50ABA5"/>
    <w:rsid w:val="6ECCD0F2"/>
    <w:rsid w:val="6FA6C219"/>
    <w:rsid w:val="6FAB3D89"/>
    <w:rsid w:val="716CA5C6"/>
    <w:rsid w:val="71DB7791"/>
    <w:rsid w:val="72D688AF"/>
    <w:rsid w:val="7327B3FC"/>
    <w:rsid w:val="739C16A6"/>
    <w:rsid w:val="748FA28F"/>
    <w:rsid w:val="74EE2C9B"/>
    <w:rsid w:val="75DF27BB"/>
    <w:rsid w:val="75EFC135"/>
    <w:rsid w:val="78AA671A"/>
    <w:rsid w:val="7B5A1A5C"/>
    <w:rsid w:val="7C3D5487"/>
    <w:rsid w:val="7D62AE8F"/>
    <w:rsid w:val="7D9D6A62"/>
    <w:rsid w:val="7DDDD448"/>
    <w:rsid w:val="7E07C795"/>
    <w:rsid w:val="7E6FEBC8"/>
    <w:rsid w:val="7E8F9657"/>
    <w:rsid w:val="7F502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FA2C5"/>
  <w15:chartTrackingRefBased/>
  <w15:docId w15:val="{F6684B6E-7849-4A00-8364-BB7A62E8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er1"/>
    <w:next w:val="Normal"/>
    <w:link w:val="Heading1Char"/>
    <w:uiPriority w:val="9"/>
    <w:qFormat/>
    <w:rsid w:val="00075E99"/>
    <w:pPr>
      <w:outlineLvl w:val="0"/>
    </w:pPr>
  </w:style>
  <w:style w:type="paragraph" w:styleId="Heading2">
    <w:name w:val="heading 2"/>
    <w:basedOn w:val="Header2"/>
    <w:next w:val="Normal"/>
    <w:link w:val="Heading2Char"/>
    <w:uiPriority w:val="9"/>
    <w:unhideWhenUsed/>
    <w:qFormat/>
    <w:rsid w:val="00075E99"/>
    <w:pPr>
      <w:outlineLvl w:val="1"/>
    </w:pPr>
  </w:style>
  <w:style w:type="paragraph" w:styleId="Heading3">
    <w:name w:val="heading 3"/>
    <w:basedOn w:val="Normal"/>
    <w:next w:val="Normal"/>
    <w:link w:val="Heading3Char"/>
    <w:uiPriority w:val="9"/>
    <w:semiHidden/>
    <w:unhideWhenUsed/>
    <w:qFormat/>
    <w:rsid w:val="00A540A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540A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540A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54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E99"/>
    <w:rPr>
      <w:rFonts w:ascii="Arial" w:hAnsi="Arial" w:cs="Arial"/>
      <w:b/>
      <w:bCs/>
      <w:color w:val="1BAF90"/>
      <w:sz w:val="28"/>
      <w:szCs w:val="28"/>
    </w:rPr>
  </w:style>
  <w:style w:type="character" w:customStyle="1" w:styleId="Heading2Char">
    <w:name w:val="Heading 2 Char"/>
    <w:basedOn w:val="DefaultParagraphFont"/>
    <w:link w:val="Heading2"/>
    <w:uiPriority w:val="9"/>
    <w:rsid w:val="00075E99"/>
    <w:rPr>
      <w:rFonts w:ascii="Arial" w:hAnsi="Arial" w:cs="Arial"/>
      <w:b/>
      <w:bCs/>
      <w:color w:val="1BAF90"/>
    </w:rPr>
  </w:style>
  <w:style w:type="character" w:customStyle="1" w:styleId="Heading3Char">
    <w:name w:val="Heading 3 Char"/>
    <w:basedOn w:val="DefaultParagraphFont"/>
    <w:link w:val="Heading3"/>
    <w:uiPriority w:val="9"/>
    <w:semiHidden/>
    <w:rsid w:val="00A540A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540A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540A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54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0AA"/>
    <w:rPr>
      <w:rFonts w:eastAsiaTheme="majorEastAsia" w:cstheme="majorBidi"/>
      <w:color w:val="272727" w:themeColor="text1" w:themeTint="D8"/>
    </w:rPr>
  </w:style>
  <w:style w:type="paragraph" w:styleId="Title">
    <w:name w:val="Title"/>
    <w:basedOn w:val="Normal"/>
    <w:next w:val="Normal"/>
    <w:link w:val="TitleChar"/>
    <w:uiPriority w:val="10"/>
    <w:qFormat/>
    <w:rsid w:val="00A54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0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0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0AA"/>
    <w:pPr>
      <w:spacing w:before="160"/>
      <w:jc w:val="center"/>
    </w:pPr>
    <w:rPr>
      <w:i/>
      <w:iCs/>
      <w:color w:val="404040" w:themeColor="text1" w:themeTint="BF"/>
    </w:rPr>
  </w:style>
  <w:style w:type="character" w:customStyle="1" w:styleId="QuoteChar">
    <w:name w:val="Quote Char"/>
    <w:basedOn w:val="DefaultParagraphFont"/>
    <w:link w:val="Quote"/>
    <w:uiPriority w:val="29"/>
    <w:rsid w:val="00A540AA"/>
    <w:rPr>
      <w:i/>
      <w:iCs/>
      <w:color w:val="404040" w:themeColor="text1" w:themeTint="BF"/>
    </w:rPr>
  </w:style>
  <w:style w:type="paragraph" w:styleId="ListParagraph">
    <w:name w:val="List Paragraph"/>
    <w:basedOn w:val="Normal"/>
    <w:uiPriority w:val="34"/>
    <w:qFormat/>
    <w:rsid w:val="00A540AA"/>
    <w:pPr>
      <w:ind w:left="720"/>
      <w:contextualSpacing/>
    </w:pPr>
  </w:style>
  <w:style w:type="character" w:styleId="IntenseEmphasis">
    <w:name w:val="Intense Emphasis"/>
    <w:basedOn w:val="DefaultParagraphFont"/>
    <w:uiPriority w:val="21"/>
    <w:qFormat/>
    <w:rsid w:val="00A540AA"/>
    <w:rPr>
      <w:i/>
      <w:iCs/>
      <w:color w:val="2E74B5" w:themeColor="accent1" w:themeShade="BF"/>
    </w:rPr>
  </w:style>
  <w:style w:type="paragraph" w:styleId="IntenseQuote">
    <w:name w:val="Intense Quote"/>
    <w:basedOn w:val="Normal"/>
    <w:next w:val="Normal"/>
    <w:link w:val="IntenseQuoteChar"/>
    <w:uiPriority w:val="30"/>
    <w:qFormat/>
    <w:rsid w:val="00A540A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540AA"/>
    <w:rPr>
      <w:i/>
      <w:iCs/>
      <w:color w:val="2E74B5" w:themeColor="accent1" w:themeShade="BF"/>
    </w:rPr>
  </w:style>
  <w:style w:type="character" w:styleId="IntenseReference">
    <w:name w:val="Intense Reference"/>
    <w:basedOn w:val="DefaultParagraphFont"/>
    <w:uiPriority w:val="32"/>
    <w:qFormat/>
    <w:rsid w:val="00A540AA"/>
    <w:rPr>
      <w:b/>
      <w:bCs/>
      <w:smallCaps/>
      <w:color w:val="2E74B5" w:themeColor="accent1" w:themeShade="BF"/>
      <w:spacing w:val="5"/>
    </w:rPr>
  </w:style>
  <w:style w:type="paragraph" w:styleId="Header">
    <w:name w:val="header"/>
    <w:basedOn w:val="Normal"/>
    <w:link w:val="HeaderChar"/>
    <w:uiPriority w:val="99"/>
    <w:unhideWhenUsed/>
    <w:rsid w:val="006C2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7B4"/>
  </w:style>
  <w:style w:type="paragraph" w:styleId="Footer">
    <w:name w:val="footer"/>
    <w:basedOn w:val="Normal"/>
    <w:link w:val="FooterChar"/>
    <w:uiPriority w:val="99"/>
    <w:unhideWhenUsed/>
    <w:rsid w:val="006C2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7B4"/>
  </w:style>
  <w:style w:type="character" w:styleId="Hyperlink">
    <w:name w:val="Hyperlink"/>
    <w:basedOn w:val="DefaultParagraphFont"/>
    <w:uiPriority w:val="99"/>
    <w:unhideWhenUsed/>
    <w:rsid w:val="00DD70A5"/>
    <w:rPr>
      <w:color w:val="0000FF"/>
      <w:u w:val="single"/>
    </w:rPr>
  </w:style>
  <w:style w:type="table" w:styleId="TableGrid">
    <w:name w:val="Table Grid"/>
    <w:basedOn w:val="TableNormal"/>
    <w:uiPriority w:val="39"/>
    <w:rsid w:val="00194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D7A2E"/>
    <w:pPr>
      <w:spacing w:after="0" w:line="240" w:lineRule="auto"/>
    </w:pPr>
  </w:style>
  <w:style w:type="paragraph" w:customStyle="1" w:styleId="Header1">
    <w:name w:val="Header 1"/>
    <w:basedOn w:val="Normal"/>
    <w:link w:val="Header1Char"/>
    <w:rsid w:val="00AA5931"/>
    <w:pPr>
      <w:spacing w:after="0"/>
    </w:pPr>
    <w:rPr>
      <w:rFonts w:ascii="Arial" w:hAnsi="Arial" w:cs="Arial"/>
      <w:b/>
      <w:bCs/>
      <w:color w:val="1BAF90"/>
      <w:sz w:val="28"/>
      <w:szCs w:val="28"/>
    </w:rPr>
  </w:style>
  <w:style w:type="character" w:customStyle="1" w:styleId="Header1Char">
    <w:name w:val="Header 1 Char"/>
    <w:basedOn w:val="DefaultParagraphFont"/>
    <w:link w:val="Header1"/>
    <w:rsid w:val="00AA5931"/>
    <w:rPr>
      <w:rFonts w:ascii="Arial" w:hAnsi="Arial" w:cs="Arial"/>
      <w:b/>
      <w:bCs/>
      <w:color w:val="1BAF90"/>
      <w:sz w:val="28"/>
      <w:szCs w:val="28"/>
    </w:rPr>
  </w:style>
  <w:style w:type="paragraph" w:customStyle="1" w:styleId="Header2">
    <w:name w:val="Header 2"/>
    <w:basedOn w:val="Normal"/>
    <w:link w:val="Header2Char"/>
    <w:rsid w:val="00810CC8"/>
    <w:pPr>
      <w:spacing w:after="0"/>
    </w:pPr>
    <w:rPr>
      <w:rFonts w:ascii="Arial" w:hAnsi="Arial" w:cs="Arial"/>
      <w:b/>
      <w:bCs/>
      <w:color w:val="1BAF90"/>
    </w:rPr>
  </w:style>
  <w:style w:type="character" w:customStyle="1" w:styleId="Header2Char">
    <w:name w:val="Header 2 Char"/>
    <w:basedOn w:val="DefaultParagraphFont"/>
    <w:link w:val="Header2"/>
    <w:rsid w:val="00810CC8"/>
    <w:rPr>
      <w:rFonts w:ascii="Arial" w:hAnsi="Arial" w:cs="Arial"/>
      <w:b/>
      <w:bCs/>
      <w:color w:val="1BAF90"/>
    </w:rPr>
  </w:style>
  <w:style w:type="paragraph" w:styleId="TOCHeading">
    <w:name w:val="TOC Heading"/>
    <w:basedOn w:val="Heading1"/>
    <w:next w:val="Normal"/>
    <w:uiPriority w:val="39"/>
    <w:unhideWhenUsed/>
    <w:qFormat/>
    <w:rsid w:val="00BF6983"/>
    <w:pPr>
      <w:keepNext/>
      <w:keepLines/>
      <w:spacing w:before="240"/>
      <w:outlineLvl w:val="9"/>
    </w:pPr>
    <w:rPr>
      <w:rFonts w:asciiTheme="majorHAnsi" w:eastAsiaTheme="majorEastAsia" w:hAnsiTheme="majorHAnsi" w:cstheme="majorBidi"/>
      <w:b w:val="0"/>
      <w:bCs w:val="0"/>
      <w:color w:val="2E74B5" w:themeColor="accent1" w:themeShade="BF"/>
      <w:kern w:val="0"/>
      <w:sz w:val="32"/>
      <w:szCs w:val="32"/>
      <w:lang w:val="en-US"/>
      <w14:ligatures w14:val="none"/>
    </w:rPr>
  </w:style>
  <w:style w:type="paragraph" w:styleId="TOC1">
    <w:name w:val="toc 1"/>
    <w:basedOn w:val="Normal"/>
    <w:next w:val="Normal"/>
    <w:autoRedefine/>
    <w:uiPriority w:val="39"/>
    <w:unhideWhenUsed/>
    <w:rsid w:val="00BF6983"/>
    <w:pPr>
      <w:tabs>
        <w:tab w:val="left" w:pos="454"/>
        <w:tab w:val="right" w:leader="dot" w:pos="9016"/>
      </w:tabs>
      <w:spacing w:after="100"/>
    </w:pPr>
    <w:rPr>
      <w:rFonts w:ascii="Arial" w:hAnsi="Arial"/>
      <w:color w:val="1BAF90"/>
      <w:kern w:val="0"/>
      <w14:ligatures w14:val="none"/>
    </w:rPr>
  </w:style>
  <w:style w:type="paragraph" w:styleId="TOC2">
    <w:name w:val="toc 2"/>
    <w:basedOn w:val="Normal"/>
    <w:next w:val="Normal"/>
    <w:autoRedefine/>
    <w:uiPriority w:val="39"/>
    <w:unhideWhenUsed/>
    <w:rsid w:val="00BF6983"/>
    <w:pPr>
      <w:spacing w:after="100"/>
      <w:ind w:left="454"/>
    </w:pPr>
    <w:rPr>
      <w:rFonts w:ascii="Arial" w:hAnsi="Arial"/>
      <w:color w:val="1BAF90"/>
      <w:kern w:val="0"/>
      <w14:ligatures w14:val="none"/>
    </w:rPr>
  </w:style>
  <w:style w:type="paragraph" w:styleId="TOC3">
    <w:name w:val="toc 3"/>
    <w:basedOn w:val="Normal"/>
    <w:next w:val="Normal"/>
    <w:autoRedefine/>
    <w:uiPriority w:val="39"/>
    <w:unhideWhenUsed/>
    <w:rsid w:val="00BF6983"/>
    <w:pPr>
      <w:spacing w:after="100"/>
      <w:ind w:left="1021"/>
    </w:pPr>
    <w:rPr>
      <w:rFonts w:ascii="Arial" w:hAnsi="Arial"/>
      <w:color w:val="1BAF9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wy.gov.uk/en/Resident/HousingServices/Policies-plans-strategies/Assets/documents/Conwy-Local-Housing-Prospectus-April-2025.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CC531-8293-46E7-92BF-E9904D38C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2093</Words>
  <Characters>12334</Characters>
  <Application>Microsoft Office Word</Application>
  <DocSecurity>0</DocSecurity>
  <Lines>587</Lines>
  <Paragraphs>225</Paragraphs>
  <ScaleCrop>false</ScaleCrop>
  <Company>Conwy County Borough Council</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Affordable Housing Delivery Plan</dc:title>
  <dc:subject>@Title</dc:subject>
  <dc:creator>Jodie Davies</dc:creator>
  <cp:keywords>
  </cp:keywords>
  <dc:description>
  </dc:description>
  <cp:lastModifiedBy>Elaine Doga</cp:lastModifiedBy>
  <cp:revision>225</cp:revision>
  <cp:lastPrinted>2025-10-22T19:51:00Z</cp:lastPrinted>
  <dcterms:created xsi:type="dcterms:W3CDTF">2025-10-21T05:17:00Z</dcterms:created>
  <dcterms:modified xsi:type="dcterms:W3CDTF">2026-01-28T10:56:23Z</dcterms:modified>
</cp:coreProperties>
</file>