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110F8" w:rsidR="009F6A46" w:rsidP="003D33B4" w:rsidRDefault="003D33B4" w14:paraId="4471CC0E" w14:textId="76CC435B">
      <w:pPr>
        <w:spacing w:after="0"/>
        <w:rPr>
          <w:rFonts w:ascii="Arial" w:hAnsi="Arial" w:cs="Arial"/>
          <w:b w:val="1"/>
          <w:bCs w:val="1"/>
        </w:rPr>
      </w:pPr>
      <w:r w:rsidR="003D33B4">
        <w:drawing>
          <wp:inline wp14:anchorId="05CE09E8" wp14:editId="72E18814">
            <wp:extent cx="6252040" cy="8843612"/>
            <wp:effectExtent l="0" t="0" r="0" b="0"/>
            <wp:docPr id="499876423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9876423" name="Picture 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52040" cy="884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Hlk215147929" w:id="0"/>
    </w:p>
    <w:sdt>
      <w:sdtPr>
        <w:id w:val="-61108895"/>
        <w:docPartObj>
          <w:docPartGallery w:val="Table of Contents"/>
          <w:docPartUnique/>
        </w:docPartObj>
        <w:rPr>
          <w:rFonts w:ascii="Arial" w:hAnsi="Arial" w:eastAsia="Aptos" w:cs="" w:eastAsiaTheme="minorAscii" w:cstheme="minorBidi"/>
          <w:color w:val="000000" w:themeColor="text1"/>
          <w:sz w:val="22"/>
          <w:szCs w:val="22"/>
          <w:lang w:val="en-GB"/>
        </w:rPr>
      </w:sdtPr>
      <w:sdtEndPr>
        <w:rPr>
          <w:rFonts w:ascii="Arial" w:hAnsi="Arial" w:eastAsia="Aptos" w:cs="" w:eastAsiaTheme="minorAscii" w:cstheme="minorBidi"/>
          <w:b w:val="1"/>
          <w:bCs w:val="1"/>
          <w:noProof/>
          <w:color w:val="000000" w:themeColor="text1" w:themeTint="FF" w:themeShade="FF"/>
          <w:sz w:val="22"/>
          <w:szCs w:val="22"/>
          <w:lang w:val="en-GB"/>
        </w:rPr>
      </w:sdtEndPr>
      <w:sdtContent>
        <w:p w:rsidR="00D110F8" w:rsidP="009F6A46" w:rsidRDefault="00D110F8" w14:paraId="40A065C7" w14:textId="77777777">
          <w:pPr>
            <w:pStyle w:val="TOCHeading"/>
            <w:rPr>
              <w:rFonts w:ascii="Arial" w:hAnsi="Arial" w:eastAsiaTheme="minorHAnsi" w:cstheme="minorBidi"/>
              <w:color w:val="000000" w:themeColor="text1"/>
              <w:sz w:val="22"/>
              <w:szCs w:val="22"/>
              <w:lang w:val="en-GB"/>
            </w:rPr>
            <w:sectPr w:rsidR="00D110F8" w:rsidSect="003D33B4">
              <w:type w:val="continuous"/>
              <w:pgSz w:w="11906" w:h="16838"/>
              <w:pgMar w:top="0" w:right="0" w:bottom="0" w:left="0" w:header="709" w:footer="709" w:gutter="0"/>
              <w:pgNumType w:start="0"/>
              <w:cols w:space="708"/>
              <w:titlePg/>
              <w:docGrid w:linePitch="360"/>
            </w:sectPr>
          </w:pPr>
        </w:p>
        <w:p w:rsidRPr="00BF6983" w:rsidR="009F6A46" w:rsidP="009F6A46" w:rsidRDefault="009F6A46" w14:paraId="5CADFD8A" w14:textId="77777777">
          <w:pPr>
            <w:pStyle w:val="TOCHeading"/>
            <w:rPr>
              <w:rFonts w:ascii="Arial Black" w:hAnsi="Arial Black"/>
              <w:color w:val="1BAF90"/>
            </w:rPr>
          </w:pPr>
          <w:r w:rsidRPr="00BF6983">
            <w:rPr>
              <w:rFonts w:ascii="Arial Black" w:hAnsi="Arial Black"/>
              <w:color w:val="1BAF90"/>
            </w:rPr>
            <w:t>Contents</w:t>
          </w:r>
        </w:p>
        <w:p w:rsidRPr="00BF6983" w:rsidR="009F6A46" w:rsidP="009F6A46" w:rsidRDefault="009F6A46" w14:paraId="19E489C7" w14:textId="77777777">
          <w:pPr>
            <w:rPr>
              <w:color w:val="000000" w:themeColor="text1"/>
              <w:lang w:val="en-US"/>
            </w:rPr>
          </w:pPr>
        </w:p>
        <w:p w:rsidR="00B1655D" w:rsidRDefault="009F6A46" w14:paraId="084FF6C3" w14:textId="6A60818F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color w:val="000000" w:themeColor="text1"/>
            </w:rPr>
            <w:fldChar w:fldCharType="begin"/>
          </w:r>
          <w:r>
            <w:rPr>
              <w:color w:val="000000" w:themeColor="text1"/>
            </w:rPr>
            <w:instrText xml:space="preserve"> TOC \o "1-3" \h \z \u </w:instrText>
          </w:r>
          <w:r>
            <w:rPr>
              <w:color w:val="000000" w:themeColor="text1"/>
            </w:rPr>
            <w:fldChar w:fldCharType="separate"/>
          </w:r>
          <w:hyperlink w:history="1" w:anchor="_Toc215571020">
            <w:r w:rsidRPr="00DE31A2" w:rsidR="00B1655D">
              <w:rPr>
                <w:rStyle w:val="Hyperlink"/>
                <w:noProof/>
              </w:rPr>
              <w:t>1</w:t>
            </w:r>
            <w:r w:rsidR="00B1655D"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E31A2" w:rsidR="00B1655D">
              <w:rPr>
                <w:rStyle w:val="Hyperlink"/>
                <w:noProof/>
              </w:rPr>
              <w:t>Introduction</w:t>
            </w:r>
            <w:r w:rsidR="00B1655D">
              <w:rPr>
                <w:noProof/>
                <w:webHidden/>
              </w:rPr>
              <w:tab/>
            </w:r>
            <w:r w:rsidR="00B1655D">
              <w:rPr>
                <w:noProof/>
                <w:webHidden/>
              </w:rPr>
              <w:fldChar w:fldCharType="begin"/>
            </w:r>
            <w:r w:rsidR="00B1655D">
              <w:rPr>
                <w:noProof/>
                <w:webHidden/>
              </w:rPr>
              <w:instrText xml:space="preserve"> PAGEREF _Toc215571020 \h </w:instrText>
            </w:r>
            <w:r w:rsidR="00B1655D">
              <w:rPr>
                <w:noProof/>
                <w:webHidden/>
              </w:rPr>
            </w:r>
            <w:r w:rsidR="00B1655D">
              <w:rPr>
                <w:noProof/>
                <w:webHidden/>
              </w:rPr>
              <w:fldChar w:fldCharType="separate"/>
            </w:r>
            <w:r w:rsidR="00B1655D">
              <w:rPr>
                <w:noProof/>
                <w:webHidden/>
              </w:rPr>
              <w:t>1</w:t>
            </w:r>
            <w:r w:rsidR="00B1655D"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7EBA4BA9" w14:textId="12AF3999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21">
            <w:r w:rsidRPr="00DE31A2">
              <w:rPr>
                <w:rStyle w:val="Hyperlink"/>
                <w:noProof/>
              </w:rPr>
              <w:t>2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E31A2">
              <w:rPr>
                <w:rStyle w:val="Hyperlink"/>
                <w:noProof/>
              </w:rPr>
              <w:t>Core Objectives by Focus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4BF594C5" w14:textId="535B0EEB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22">
            <w:r w:rsidRPr="00DE31A2">
              <w:rPr>
                <w:rStyle w:val="Hyperlink"/>
                <w:noProof/>
              </w:rPr>
              <w:t>Focus area 1: Welsh Government Grant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27592581" w14:textId="3D46A462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23">
            <w:r w:rsidRPr="00DE31A2">
              <w:rPr>
                <w:rStyle w:val="Hyperlink"/>
                <w:noProof/>
              </w:rPr>
              <w:t>Focus area 2: Partner Working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22009AD6" w14:textId="28B4B899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24">
            <w:r w:rsidRPr="00DE31A2">
              <w:rPr>
                <w:rStyle w:val="Hyperlink"/>
                <w:noProof/>
              </w:rPr>
              <w:t>Focus area 3: Lived Experience Co-production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0C40B679" w14:textId="6C9A0F7D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25">
            <w:r w:rsidRPr="00DE31A2">
              <w:rPr>
                <w:rStyle w:val="Hyperlink"/>
                <w:noProof/>
              </w:rPr>
              <w:t>3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E31A2">
              <w:rPr>
                <w:rStyle w:val="Hyperlink"/>
                <w:noProof/>
              </w:rPr>
              <w:t>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29A4F24F" w14:textId="59CD2460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26">
            <w:r w:rsidRPr="00DE31A2">
              <w:rPr>
                <w:rStyle w:val="Hyperlink"/>
                <w:noProof/>
              </w:rPr>
              <w:t>Staffing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37F09CF0" w14:textId="53E1A863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27">
            <w:r w:rsidRPr="00DE31A2">
              <w:rPr>
                <w:rStyle w:val="Hyperlink"/>
                <w:noProof/>
              </w:rPr>
              <w:t>Housing Support Grant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24C16DAB" w14:textId="60FB4261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28">
            <w:r w:rsidRPr="00DE31A2">
              <w:rPr>
                <w:rStyle w:val="Hyperlink"/>
                <w:noProof/>
              </w:rPr>
              <w:t>Partnership working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2B9901BA" w14:textId="6C78631A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29">
            <w:r w:rsidRPr="00DE31A2">
              <w:rPr>
                <w:rStyle w:val="Hyperlink"/>
                <w:noProof/>
              </w:rPr>
              <w:t>4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E31A2">
              <w:rPr>
                <w:rStyle w:val="Hyperlink"/>
                <w:noProof/>
              </w:rPr>
              <w:t>Monitoring Success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27E416C9" w14:textId="57AD830A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30">
            <w:r w:rsidRPr="00DE31A2">
              <w:rPr>
                <w:rStyle w:val="Hyperlink"/>
                <w:noProof/>
              </w:rPr>
              <w:t>Welsh Government Key Performance Indicators (KPIs)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744AEB2B" w14:textId="3DE00ABE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31">
            <w:r w:rsidRPr="00DE31A2">
              <w:rPr>
                <w:rStyle w:val="Hyperlink"/>
                <w:noProof/>
              </w:rPr>
              <w:t>Customer satisfaction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792CBBC4" w14:textId="0D0E3AD1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32">
            <w:r w:rsidRPr="00DE31A2">
              <w:rPr>
                <w:rStyle w:val="Hyperlink"/>
                <w:noProof/>
              </w:rPr>
              <w:t>Partnership working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442C44D1" w14:textId="0801112C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33">
            <w:r w:rsidRPr="00DE31A2">
              <w:rPr>
                <w:rStyle w:val="Hyperlink"/>
                <w:noProof/>
              </w:rPr>
              <w:t>5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E31A2">
              <w:rPr>
                <w:rStyle w:val="Hyperlink"/>
                <w:noProof/>
              </w:rPr>
              <w:t>Implementation and Governance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55D" w:rsidRDefault="00B1655D" w14:paraId="7158CE14" w14:textId="1285F76F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71034">
            <w:r w:rsidRPr="00DE31A2">
              <w:rPr>
                <w:rStyle w:val="Hyperlink"/>
                <w:noProof/>
              </w:rPr>
              <w:t>Appendix 1 - Action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9F6A46" w:rsidR="009F6A46" w:rsidP="009F6A46" w:rsidRDefault="009F6A46" w14:paraId="6A9423DB" w14:textId="76E6D265">
          <w:pPr>
            <w:pStyle w:val="TOC1"/>
            <w:rPr>
              <w:color w:val="000000" w:themeColor="text1"/>
            </w:rPr>
          </w:pPr>
          <w:r>
            <w:rPr>
              <w:color w:val="000000" w:themeColor="text1"/>
            </w:rPr>
            <w:fldChar w:fldCharType="end"/>
          </w:r>
        </w:p>
      </w:sdtContent>
    </w:sdt>
    <w:bookmarkEnd w:displacedByCustomXml="prev" w:id="0"/>
    <w:p w:rsidR="00EE5EC7" w:rsidP="00EE5EC7" w:rsidRDefault="00EE5EC7" w14:paraId="2FF84430" w14:textId="77777777">
      <w:pPr>
        <w:sectPr w:rsidR="00EE5EC7" w:rsidSect="00D110F8">
          <w:type w:val="continuous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EE5EC7" w:rsidR="006C27B4" w:rsidP="00EE5EC7" w:rsidRDefault="006C27B4" w14:paraId="18EC3B20" w14:textId="7B72D938">
      <w:pPr>
        <w:pStyle w:val="Heading1"/>
        <w:rPr>
          <w:rFonts w:ascii="Arial" w:hAnsi="Arial" w:cs="Arial"/>
        </w:rPr>
      </w:pPr>
      <w:bookmarkStart w:name="_Toc215571020" w:id="1"/>
      <w:r w:rsidRPr="00BD2ACA">
        <w:t>1</w:t>
      </w:r>
      <w:r w:rsidRPr="00BD2ACA">
        <w:tab/>
      </w:r>
      <w:r w:rsidRPr="00BD2ACA">
        <w:t>Introduction</w:t>
      </w:r>
      <w:bookmarkEnd w:id="1"/>
    </w:p>
    <w:p w:rsidR="00BD2ACA" w:rsidP="00BD2ACA" w:rsidRDefault="00BD2ACA" w14:paraId="2FB50F1E" w14:textId="77777777">
      <w:pPr>
        <w:spacing w:after="0" w:line="240" w:lineRule="auto"/>
        <w:rPr>
          <w:rFonts w:ascii="Arial" w:hAnsi="Arial" w:cs="Arial"/>
        </w:rPr>
      </w:pPr>
    </w:p>
    <w:p w:rsidRPr="00C94BA3" w:rsidR="006C27B4" w:rsidP="00BD2ACA" w:rsidRDefault="006C27B4" w14:paraId="39A4FDB0" w14:textId="1E514A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The </w:t>
      </w:r>
      <w:bookmarkStart w:name="_Hlk212007429" w:id="2"/>
      <w:r w:rsidRPr="00F06660" w:rsidR="00F06660">
        <w:rPr>
          <w:rFonts w:ascii="Arial" w:hAnsi="Arial" w:cs="Arial"/>
        </w:rPr>
        <w:t>Housing Support Programme Delivery</w:t>
      </w:r>
      <w:r w:rsidRPr="006C27B4" w:rsidR="00F06660">
        <w:rPr>
          <w:rFonts w:ascii="Arial" w:hAnsi="Arial" w:cs="Arial"/>
          <w:b/>
          <w:bCs/>
        </w:rPr>
        <w:t xml:space="preserve"> </w:t>
      </w:r>
      <w:bookmarkEnd w:id="2"/>
      <w:r>
        <w:rPr>
          <w:rFonts w:ascii="Arial" w:hAnsi="Arial" w:cs="Arial"/>
        </w:rPr>
        <w:t xml:space="preserve">Plan (the Plan) sets out </w:t>
      </w:r>
      <w:r w:rsidR="001D5EC0">
        <w:rPr>
          <w:rFonts w:ascii="Arial" w:hAnsi="Arial" w:cs="Arial"/>
        </w:rPr>
        <w:t>Conwy County Borough Council’s</w:t>
      </w:r>
      <w:r>
        <w:rPr>
          <w:rFonts w:ascii="Arial" w:hAnsi="Arial" w:cs="Arial"/>
        </w:rPr>
        <w:t xml:space="preserve"> strategic approach to </w:t>
      </w:r>
      <w:r w:rsidR="009E2887">
        <w:rPr>
          <w:rFonts w:ascii="Arial" w:hAnsi="Arial" w:cs="Arial"/>
        </w:rPr>
        <w:t>delivering</w:t>
      </w:r>
      <w:r w:rsidR="00612750">
        <w:rPr>
          <w:rFonts w:ascii="Arial" w:hAnsi="Arial" w:cs="Arial"/>
        </w:rPr>
        <w:t xml:space="preserve"> </w:t>
      </w:r>
      <w:r w:rsidR="00DD10CA">
        <w:rPr>
          <w:rFonts w:ascii="Arial" w:hAnsi="Arial" w:cs="Arial"/>
        </w:rPr>
        <w:t>housing support</w:t>
      </w:r>
      <w:r w:rsidR="00FB155A">
        <w:rPr>
          <w:rFonts w:ascii="Arial" w:hAnsi="Arial" w:cs="Arial"/>
        </w:rPr>
        <w:t xml:space="preserve"> </w:t>
      </w:r>
      <w:r w:rsidR="00DD10CA">
        <w:rPr>
          <w:rFonts w:ascii="Arial" w:hAnsi="Arial" w:cs="Arial"/>
        </w:rPr>
        <w:t xml:space="preserve">that is targeted and responsive to local needs </w:t>
      </w:r>
      <w:r w:rsidR="00A70BC3">
        <w:rPr>
          <w:rFonts w:ascii="Arial" w:hAnsi="Arial" w:cs="Arial"/>
        </w:rPr>
        <w:t xml:space="preserve">with a clear focus on </w:t>
      </w:r>
      <w:r w:rsidR="00BA7BA6">
        <w:rPr>
          <w:rFonts w:ascii="Arial" w:hAnsi="Arial" w:cs="Arial"/>
        </w:rPr>
        <w:t>multi-agency</w:t>
      </w:r>
      <w:r w:rsidR="00D31E83">
        <w:rPr>
          <w:rFonts w:ascii="Arial" w:hAnsi="Arial" w:cs="Arial"/>
        </w:rPr>
        <w:t xml:space="preserve"> collaboration</w:t>
      </w:r>
      <w:r w:rsidR="007B7FA0">
        <w:rPr>
          <w:rFonts w:ascii="Arial" w:hAnsi="Arial" w:cs="Arial"/>
        </w:rPr>
        <w:t xml:space="preserve">. </w:t>
      </w:r>
      <w:r w:rsidR="003972F3">
        <w:rPr>
          <w:rFonts w:ascii="Arial" w:hAnsi="Arial" w:cs="Arial"/>
        </w:rPr>
        <w:t>It</w:t>
      </w:r>
      <w:r w:rsidR="00D31E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support</w:t>
      </w:r>
      <w:r w:rsidR="00D31E8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</w:t>
      </w:r>
      <w:r w:rsidR="00D139FE">
        <w:rPr>
          <w:rFonts w:ascii="Arial" w:hAnsi="Arial" w:cs="Arial"/>
        </w:rPr>
        <w:t>delivery</w:t>
      </w:r>
      <w:r>
        <w:rPr>
          <w:rFonts w:ascii="Arial" w:hAnsi="Arial" w:cs="Arial"/>
        </w:rPr>
        <w:t xml:space="preserve"> of the Local Housing and Homelessness Strateg</w:t>
      </w:r>
      <w:r w:rsidR="007B7FA0">
        <w:rPr>
          <w:rFonts w:ascii="Arial" w:hAnsi="Arial" w:cs="Arial"/>
        </w:rPr>
        <w:t xml:space="preserve">y, </w:t>
      </w:r>
      <w:r w:rsidR="008A0F2A">
        <w:rPr>
          <w:rFonts w:ascii="Arial" w:hAnsi="Arial" w:cs="Arial"/>
        </w:rPr>
        <w:t xml:space="preserve">with </w:t>
      </w:r>
      <w:r w:rsidR="006F4596">
        <w:rPr>
          <w:rFonts w:ascii="Arial" w:hAnsi="Arial" w:cs="Arial"/>
        </w:rPr>
        <w:t>t</w:t>
      </w:r>
      <w:r>
        <w:rPr>
          <w:rFonts w:ascii="Arial" w:hAnsi="Arial" w:cs="Arial"/>
        </w:rPr>
        <w:t>he aim to</w:t>
      </w:r>
      <w:r w:rsidR="00470701">
        <w:rPr>
          <w:rFonts w:ascii="Arial" w:hAnsi="Arial" w:cs="Arial"/>
        </w:rPr>
        <w:t xml:space="preserve"> </w:t>
      </w:r>
      <w:r w:rsidR="00012D7C">
        <w:rPr>
          <w:rFonts w:ascii="Arial" w:hAnsi="Arial" w:cs="Arial"/>
        </w:rPr>
        <w:t xml:space="preserve">ensure support is available at the right time </w:t>
      </w:r>
      <w:r w:rsidRPr="00C94BA3" w:rsidR="00012D7C">
        <w:rPr>
          <w:rFonts w:ascii="Arial" w:hAnsi="Arial" w:cs="Arial"/>
          <w:sz w:val="20"/>
          <w:szCs w:val="20"/>
        </w:rPr>
        <w:t xml:space="preserve">to </w:t>
      </w:r>
      <w:r w:rsidRPr="00C94BA3" w:rsidR="00C94BA3">
        <w:rPr>
          <w:rFonts w:ascii="Arial" w:hAnsi="Arial" w:eastAsia="Calibri" w:cs="Arial"/>
          <w:lang w:eastAsia="en-GB"/>
        </w:rPr>
        <w:t>address inequity and prevent homelessness</w:t>
      </w:r>
      <w:r w:rsidR="00C94BA3">
        <w:rPr>
          <w:rFonts w:ascii="Arial" w:hAnsi="Arial" w:eastAsia="Calibri" w:cs="Arial"/>
          <w:lang w:eastAsia="en-GB"/>
        </w:rPr>
        <w:t>.</w:t>
      </w:r>
    </w:p>
    <w:p w:rsidR="00BD2ACA" w:rsidP="00BD2ACA" w:rsidRDefault="00BD2ACA" w14:paraId="51DDE025" w14:textId="77777777">
      <w:pPr>
        <w:spacing w:after="0" w:line="240" w:lineRule="auto"/>
        <w:rPr>
          <w:rFonts w:ascii="Arial" w:hAnsi="Arial" w:cs="Arial"/>
        </w:rPr>
      </w:pPr>
    </w:p>
    <w:p w:rsidR="006C27B4" w:rsidP="00BD2ACA" w:rsidRDefault="006C27B4" w14:paraId="09A51239" w14:textId="5011B1C6">
      <w:pPr>
        <w:spacing w:after="0" w:line="240" w:lineRule="auto"/>
        <w:rPr>
          <w:rFonts w:ascii="Arial" w:hAnsi="Arial" w:cs="Arial"/>
        </w:rPr>
      </w:pPr>
      <w:r w:rsidRPr="1925074D">
        <w:rPr>
          <w:rFonts w:ascii="Arial" w:hAnsi="Arial" w:cs="Arial"/>
        </w:rPr>
        <w:t xml:space="preserve">The Plan outlines </w:t>
      </w:r>
      <w:r w:rsidRPr="1925074D" w:rsidR="008A0F2A">
        <w:rPr>
          <w:rFonts w:ascii="Arial" w:hAnsi="Arial" w:cs="Arial"/>
        </w:rPr>
        <w:t xml:space="preserve">key </w:t>
      </w:r>
      <w:r w:rsidRPr="1925074D">
        <w:rPr>
          <w:rFonts w:ascii="Arial" w:hAnsi="Arial" w:cs="Arial"/>
        </w:rPr>
        <w:t xml:space="preserve">objectives </w:t>
      </w:r>
      <w:r w:rsidRPr="1925074D" w:rsidR="00AF2D2F">
        <w:rPr>
          <w:rFonts w:ascii="Arial" w:hAnsi="Arial" w:cs="Arial"/>
        </w:rPr>
        <w:t>design</w:t>
      </w:r>
      <w:r w:rsidRPr="1925074D" w:rsidR="001F113E">
        <w:rPr>
          <w:rFonts w:ascii="Arial" w:hAnsi="Arial" w:cs="Arial"/>
        </w:rPr>
        <w:t>ed</w:t>
      </w:r>
      <w:r w:rsidRPr="1925074D" w:rsidR="00AF2D2F">
        <w:rPr>
          <w:rFonts w:ascii="Arial" w:hAnsi="Arial" w:cs="Arial"/>
        </w:rPr>
        <w:t xml:space="preserve"> </w:t>
      </w:r>
      <w:r w:rsidRPr="1925074D" w:rsidR="009B54D5">
        <w:rPr>
          <w:rFonts w:ascii="Arial" w:hAnsi="Arial" w:cs="Arial"/>
        </w:rPr>
        <w:t xml:space="preserve">to ensure the </w:t>
      </w:r>
      <w:r w:rsidRPr="1925074D" w:rsidR="00793689">
        <w:rPr>
          <w:rFonts w:ascii="Arial" w:hAnsi="Arial" w:cs="Arial"/>
        </w:rPr>
        <w:t>housing support</w:t>
      </w:r>
      <w:r w:rsidRPr="1925074D" w:rsidR="009B54D5">
        <w:rPr>
          <w:rFonts w:ascii="Arial" w:hAnsi="Arial" w:cs="Arial"/>
        </w:rPr>
        <w:t xml:space="preserve"> service in Conwy is delivered effectively and </w:t>
      </w:r>
      <w:r w:rsidRPr="1925074D" w:rsidR="003262BE">
        <w:rPr>
          <w:rFonts w:ascii="Arial" w:hAnsi="Arial" w:cs="Arial"/>
        </w:rPr>
        <w:t>respon</w:t>
      </w:r>
      <w:r w:rsidRPr="1925074D" w:rsidR="00CF7520">
        <w:rPr>
          <w:rFonts w:ascii="Arial" w:hAnsi="Arial" w:cs="Arial"/>
        </w:rPr>
        <w:t>ds to</w:t>
      </w:r>
      <w:r w:rsidRPr="1925074D" w:rsidR="00BC46D4">
        <w:rPr>
          <w:rFonts w:ascii="Arial" w:hAnsi="Arial" w:cs="Arial"/>
        </w:rPr>
        <w:t xml:space="preserve"> the diverse needs</w:t>
      </w:r>
      <w:r w:rsidRPr="1925074D" w:rsidR="008E24EA">
        <w:rPr>
          <w:rFonts w:ascii="Arial" w:hAnsi="Arial" w:cs="Arial"/>
        </w:rPr>
        <w:t xml:space="preserve"> of customers</w:t>
      </w:r>
      <w:r w:rsidRPr="1925074D">
        <w:rPr>
          <w:rFonts w:ascii="Arial" w:hAnsi="Arial" w:cs="Arial"/>
        </w:rPr>
        <w:t>.</w:t>
      </w:r>
      <w:r w:rsidRPr="1925074D" w:rsidR="00866F49">
        <w:rPr>
          <w:rFonts w:ascii="Arial" w:hAnsi="Arial" w:cs="Arial"/>
        </w:rPr>
        <w:t xml:space="preserve"> It focuses on </w:t>
      </w:r>
      <w:r w:rsidRPr="1925074D" w:rsidR="00A740F8">
        <w:rPr>
          <w:rFonts w:ascii="Arial" w:hAnsi="Arial" w:cs="Arial"/>
        </w:rPr>
        <w:t>three</w:t>
      </w:r>
      <w:r w:rsidRPr="1925074D" w:rsidR="00866F49">
        <w:rPr>
          <w:rFonts w:ascii="Arial" w:hAnsi="Arial" w:cs="Arial"/>
        </w:rPr>
        <w:t xml:space="preserve"> core </w:t>
      </w:r>
      <w:r w:rsidRPr="1925074D" w:rsidR="003262BE">
        <w:rPr>
          <w:rFonts w:ascii="Arial" w:hAnsi="Arial" w:cs="Arial"/>
        </w:rPr>
        <w:t>areas:</w:t>
      </w:r>
      <w:r w:rsidRPr="1925074D" w:rsidR="008C60A9">
        <w:rPr>
          <w:rFonts w:ascii="Arial" w:hAnsi="Arial" w:cs="Arial"/>
        </w:rPr>
        <w:t xml:space="preserve"> </w:t>
      </w:r>
      <w:r w:rsidRPr="1925074D" w:rsidR="0080093F">
        <w:rPr>
          <w:rFonts w:ascii="Arial" w:hAnsi="Arial" w:cs="Arial"/>
        </w:rPr>
        <w:t xml:space="preserve">the Welsh Government grant, partnership working and </w:t>
      </w:r>
      <w:r w:rsidR="000B7E62">
        <w:rPr>
          <w:rFonts w:ascii="Arial" w:hAnsi="Arial" w:cs="Arial"/>
        </w:rPr>
        <w:t>lived experience co-production</w:t>
      </w:r>
      <w:r w:rsidRPr="1925074D" w:rsidR="00376143">
        <w:rPr>
          <w:rFonts w:ascii="Arial" w:hAnsi="Arial" w:cs="Arial"/>
        </w:rPr>
        <w:t xml:space="preserve">. </w:t>
      </w:r>
      <w:r w:rsidRPr="1925074D" w:rsidR="006F09D1">
        <w:rPr>
          <w:rFonts w:ascii="Arial" w:hAnsi="Arial" w:cs="Arial"/>
        </w:rPr>
        <w:t xml:space="preserve">Each area represents a key stakeholder group with unique challenges and opportunities. </w:t>
      </w:r>
      <w:r w:rsidRPr="1925074D" w:rsidR="006A30B9">
        <w:rPr>
          <w:rFonts w:ascii="Arial" w:hAnsi="Arial" w:cs="Arial"/>
        </w:rPr>
        <w:t>The Plan</w:t>
      </w:r>
      <w:r w:rsidRPr="1925074D">
        <w:rPr>
          <w:rFonts w:ascii="Arial" w:hAnsi="Arial" w:cs="Arial"/>
        </w:rPr>
        <w:t xml:space="preserve"> is designed to be a dynamic document, reviewed and updated annually to reflect progress, emerging challenges and evolving policy and legislation. </w:t>
      </w:r>
    </w:p>
    <w:p w:rsidR="00BD2ACA" w:rsidP="00BD2ACA" w:rsidRDefault="00BD2ACA" w14:paraId="5FACE019" w14:textId="77777777">
      <w:pPr>
        <w:spacing w:after="0" w:line="240" w:lineRule="auto"/>
        <w:rPr>
          <w:rFonts w:ascii="Arial" w:hAnsi="Arial" w:cs="Arial"/>
        </w:rPr>
      </w:pPr>
    </w:p>
    <w:p w:rsidR="00BD2ACA" w:rsidP="00BD2ACA" w:rsidRDefault="006C27B4" w14:paraId="55223EAE" w14:textId="5DEDEF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Action Plan in </w:t>
      </w:r>
      <w:r w:rsidR="00BD2AC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ppendix 1 provides the detailed steps that will be taken to implement the </w:t>
      </w:r>
      <w:r w:rsidRPr="00F06660" w:rsidR="00594666">
        <w:rPr>
          <w:rFonts w:ascii="Arial" w:hAnsi="Arial" w:cs="Arial"/>
        </w:rPr>
        <w:t>Housing Support Programme Delivery</w:t>
      </w:r>
      <w:r w:rsidRPr="006C27B4" w:rsidR="005946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Plan. It outlines activities, responsible officers, timescales and expected outcomes for </w:t>
      </w:r>
      <w:r w:rsidR="00FA238E">
        <w:rPr>
          <w:rFonts w:ascii="Arial" w:hAnsi="Arial" w:cs="Arial"/>
        </w:rPr>
        <w:t xml:space="preserve">each of the </w:t>
      </w:r>
      <w:r w:rsidR="00850C46">
        <w:rPr>
          <w:rFonts w:ascii="Arial" w:hAnsi="Arial" w:cs="Arial"/>
        </w:rPr>
        <w:t>three</w:t>
      </w:r>
      <w:r w:rsidR="00FA238E">
        <w:rPr>
          <w:rFonts w:ascii="Arial" w:hAnsi="Arial" w:cs="Arial"/>
        </w:rPr>
        <w:t xml:space="preserve"> focus areas</w:t>
      </w:r>
      <w:r>
        <w:rPr>
          <w:rFonts w:ascii="Arial" w:hAnsi="Arial" w:cs="Arial"/>
        </w:rPr>
        <w:t>. The Action Plan serves as a practical tool to guide delivery, monitor progress and ensure accountability across all areas of work.</w:t>
      </w:r>
    </w:p>
    <w:p w:rsidR="00BD2ACA" w:rsidP="00BD2ACA" w:rsidRDefault="00BD2ACA" w14:paraId="317D81DB" w14:textId="77777777">
      <w:pPr>
        <w:spacing w:after="0" w:line="240" w:lineRule="auto"/>
        <w:rPr>
          <w:rFonts w:ascii="Arial" w:hAnsi="Arial" w:cs="Arial"/>
        </w:rPr>
      </w:pPr>
    </w:p>
    <w:p w:rsidRPr="00BD2ACA" w:rsidR="006C27B4" w:rsidP="00BD2ACA" w:rsidRDefault="00B03CFA" w14:paraId="30FA99D5" w14:textId="723ACEF3">
      <w:pPr>
        <w:pStyle w:val="Heading1"/>
        <w:rPr>
          <w:rFonts w:ascii="Arial" w:hAnsi="Arial" w:cs="Arial"/>
        </w:rPr>
      </w:pPr>
      <w:bookmarkStart w:name="_Toc215571021" w:id="3"/>
      <w:r w:rsidRPr="00B03CFA">
        <w:t>2</w:t>
      </w:r>
      <w:r w:rsidRPr="00B03CFA">
        <w:tab/>
      </w:r>
      <w:r w:rsidRPr="00B03CFA">
        <w:t>Core Objectives by Focus Area</w:t>
      </w:r>
      <w:bookmarkEnd w:id="3"/>
    </w:p>
    <w:p w:rsidR="00BD2ACA" w:rsidP="00BD2ACA" w:rsidRDefault="00BD2ACA" w14:paraId="4D1DEEC5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BD2ACA" w:rsidR="00B03CFA" w:rsidP="00BD2ACA" w:rsidRDefault="002A2F21" w14:paraId="7C4F3886" w14:textId="4D90F543">
      <w:pPr>
        <w:pStyle w:val="Heading2"/>
      </w:pPr>
      <w:bookmarkStart w:name="_Toc215571022" w:id="4"/>
      <w:r w:rsidRPr="00BD2ACA">
        <w:t xml:space="preserve">Focus area 1: </w:t>
      </w:r>
      <w:r w:rsidRPr="00BD2ACA" w:rsidR="00B03CFA">
        <w:t>W</w:t>
      </w:r>
      <w:r w:rsidRPr="00BD2ACA" w:rsidR="0055090A">
        <w:t>elsh Government Grant Programme</w:t>
      </w:r>
      <w:bookmarkEnd w:id="4"/>
    </w:p>
    <w:p w:rsidR="00BD2ACA" w:rsidP="00BD2ACA" w:rsidRDefault="00BD2ACA" w14:paraId="7B0765FE" w14:textId="77777777">
      <w:pPr>
        <w:spacing w:after="0" w:line="240" w:lineRule="auto"/>
        <w:rPr>
          <w:rFonts w:ascii="Arial" w:hAnsi="Arial" w:cs="Arial"/>
          <w:i/>
          <w:iCs/>
        </w:rPr>
      </w:pPr>
    </w:p>
    <w:p w:rsidR="00BA3149" w:rsidP="00BD2ACA" w:rsidRDefault="00BA3149" w14:paraId="53EC3498" w14:textId="105DD6D5">
      <w:pPr>
        <w:spacing w:after="0" w:line="240" w:lineRule="auto"/>
        <w:rPr>
          <w:rFonts w:ascii="Arial" w:hAnsi="Arial" w:cs="Arial"/>
          <w:i/>
          <w:iCs/>
        </w:rPr>
      </w:pPr>
      <w:r w:rsidRPr="008866D6">
        <w:rPr>
          <w:rFonts w:ascii="Arial" w:hAnsi="Arial" w:cs="Arial"/>
          <w:i/>
          <w:iCs/>
        </w:rPr>
        <w:t>Objective:</w:t>
      </w:r>
      <w:r w:rsidRPr="00BA3149">
        <w:rPr>
          <w:rFonts w:ascii="Arial" w:hAnsi="Arial" w:cs="Arial"/>
          <w:i/>
          <w:iCs/>
        </w:rPr>
        <w:t xml:space="preserve"> </w:t>
      </w:r>
      <w:r w:rsidR="0055598F">
        <w:rPr>
          <w:rFonts w:ascii="Arial" w:hAnsi="Arial" w:cs="Arial"/>
          <w:i/>
          <w:iCs/>
        </w:rPr>
        <w:t>Utilise the Welsh Government Housing Support Grant to deliver high quality housing related support services through a coordinated multi-agency approach that is fully aligned with the loca</w:t>
      </w:r>
      <w:r w:rsidR="00922D4B">
        <w:rPr>
          <w:rFonts w:ascii="Arial" w:hAnsi="Arial" w:cs="Arial"/>
          <w:i/>
          <w:iCs/>
        </w:rPr>
        <w:t>l Housing Needs Assessment</w:t>
      </w:r>
    </w:p>
    <w:p w:rsidR="00BD2ACA" w:rsidP="00BD2ACA" w:rsidRDefault="00BD2ACA" w14:paraId="7A1D9A7B" w14:textId="77777777">
      <w:pPr>
        <w:spacing w:after="0" w:line="240" w:lineRule="auto"/>
        <w:rPr>
          <w:rFonts w:ascii="Arial" w:hAnsi="Arial" w:cs="Arial"/>
        </w:rPr>
      </w:pPr>
    </w:p>
    <w:p w:rsidR="009A0E2D" w:rsidP="00BD2ACA" w:rsidRDefault="00277B9E" w14:paraId="6DE8C0A0" w14:textId="65E0BF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demand for homelessness services has </w:t>
      </w:r>
      <w:r w:rsidR="00F06EF2">
        <w:rPr>
          <w:rFonts w:ascii="Arial" w:hAnsi="Arial" w:cs="Arial"/>
        </w:rPr>
        <w:t>reached unprecedented levels in recent years</w:t>
      </w:r>
      <w:r w:rsidR="0007439C">
        <w:rPr>
          <w:rFonts w:ascii="Arial" w:hAnsi="Arial" w:cs="Arial"/>
        </w:rPr>
        <w:t xml:space="preserve">, alongside a growing </w:t>
      </w:r>
      <w:r w:rsidR="006B528F">
        <w:rPr>
          <w:rFonts w:ascii="Arial" w:hAnsi="Arial" w:cs="Arial"/>
        </w:rPr>
        <w:t xml:space="preserve">need for housing </w:t>
      </w:r>
      <w:r w:rsidR="0007439C">
        <w:rPr>
          <w:rFonts w:ascii="Arial" w:hAnsi="Arial" w:cs="Arial"/>
        </w:rPr>
        <w:t xml:space="preserve">related </w:t>
      </w:r>
      <w:r w:rsidR="006B528F">
        <w:rPr>
          <w:rFonts w:ascii="Arial" w:hAnsi="Arial" w:cs="Arial"/>
        </w:rPr>
        <w:t>support</w:t>
      </w:r>
      <w:r w:rsidR="00567763">
        <w:rPr>
          <w:rFonts w:ascii="Arial" w:hAnsi="Arial" w:cs="Arial"/>
        </w:rPr>
        <w:t xml:space="preserve">. </w:t>
      </w:r>
      <w:r w:rsidR="00D239BC">
        <w:rPr>
          <w:rFonts w:ascii="Arial" w:hAnsi="Arial" w:cs="Arial"/>
        </w:rPr>
        <w:t>Over the years, t</w:t>
      </w:r>
      <w:r w:rsidR="00C62389">
        <w:rPr>
          <w:rFonts w:ascii="Arial" w:hAnsi="Arial" w:cs="Arial"/>
        </w:rPr>
        <w:t xml:space="preserve">he </w:t>
      </w:r>
      <w:r w:rsidR="00567763">
        <w:rPr>
          <w:rFonts w:ascii="Arial" w:hAnsi="Arial" w:cs="Arial"/>
        </w:rPr>
        <w:t>needs</w:t>
      </w:r>
      <w:r w:rsidR="00C62389">
        <w:rPr>
          <w:rFonts w:ascii="Arial" w:hAnsi="Arial" w:cs="Arial"/>
        </w:rPr>
        <w:t xml:space="preserve"> of households ha</w:t>
      </w:r>
      <w:r w:rsidR="006D7A1A">
        <w:rPr>
          <w:rFonts w:ascii="Arial" w:hAnsi="Arial" w:cs="Arial"/>
        </w:rPr>
        <w:t>ve</w:t>
      </w:r>
      <w:r w:rsidR="00C62389">
        <w:rPr>
          <w:rFonts w:ascii="Arial" w:hAnsi="Arial" w:cs="Arial"/>
        </w:rPr>
        <w:t xml:space="preserve"> </w:t>
      </w:r>
      <w:r w:rsidR="00A4443A">
        <w:rPr>
          <w:rFonts w:ascii="Arial" w:hAnsi="Arial" w:cs="Arial"/>
        </w:rPr>
        <w:t>changed,</w:t>
      </w:r>
      <w:r w:rsidR="006D7A1A">
        <w:rPr>
          <w:rFonts w:ascii="Arial" w:hAnsi="Arial" w:cs="Arial"/>
        </w:rPr>
        <w:t xml:space="preserve"> </w:t>
      </w:r>
      <w:r w:rsidR="00387F59">
        <w:rPr>
          <w:rFonts w:ascii="Arial" w:hAnsi="Arial" w:cs="Arial"/>
        </w:rPr>
        <w:t xml:space="preserve">and </w:t>
      </w:r>
      <w:r w:rsidR="0082206D">
        <w:rPr>
          <w:rFonts w:ascii="Arial" w:hAnsi="Arial" w:cs="Arial"/>
        </w:rPr>
        <w:t>it has been challenging</w:t>
      </w:r>
      <w:r w:rsidR="00C62389">
        <w:rPr>
          <w:rFonts w:ascii="Arial" w:hAnsi="Arial" w:cs="Arial"/>
        </w:rPr>
        <w:t xml:space="preserve"> to </w:t>
      </w:r>
      <w:r w:rsidR="0040330C">
        <w:rPr>
          <w:rFonts w:ascii="Arial" w:hAnsi="Arial" w:cs="Arial"/>
        </w:rPr>
        <w:t>adapt</w:t>
      </w:r>
      <w:r w:rsidR="00C62389">
        <w:rPr>
          <w:rFonts w:ascii="Arial" w:hAnsi="Arial" w:cs="Arial"/>
        </w:rPr>
        <w:t xml:space="preserve"> the </w:t>
      </w:r>
      <w:r w:rsidR="00484A5E">
        <w:rPr>
          <w:rFonts w:ascii="Arial" w:hAnsi="Arial" w:cs="Arial"/>
        </w:rPr>
        <w:t>H</w:t>
      </w:r>
      <w:r w:rsidR="0040330C">
        <w:rPr>
          <w:rFonts w:ascii="Arial" w:hAnsi="Arial" w:cs="Arial"/>
        </w:rPr>
        <w:t xml:space="preserve">ousing </w:t>
      </w:r>
      <w:r w:rsidR="00484A5E">
        <w:rPr>
          <w:rFonts w:ascii="Arial" w:hAnsi="Arial" w:cs="Arial"/>
        </w:rPr>
        <w:t>S</w:t>
      </w:r>
      <w:r w:rsidR="0040330C">
        <w:rPr>
          <w:rFonts w:ascii="Arial" w:hAnsi="Arial" w:cs="Arial"/>
        </w:rPr>
        <w:t xml:space="preserve">upport </w:t>
      </w:r>
      <w:r w:rsidR="00484A5E">
        <w:rPr>
          <w:rFonts w:ascii="Arial" w:hAnsi="Arial" w:cs="Arial"/>
        </w:rPr>
        <w:t>G</w:t>
      </w:r>
      <w:r w:rsidR="0040330C">
        <w:rPr>
          <w:rFonts w:ascii="Arial" w:hAnsi="Arial" w:cs="Arial"/>
        </w:rPr>
        <w:t>rant</w:t>
      </w:r>
      <w:r w:rsidR="00484A5E">
        <w:rPr>
          <w:rFonts w:ascii="Arial" w:hAnsi="Arial" w:cs="Arial"/>
        </w:rPr>
        <w:t xml:space="preserve"> programme at pace</w:t>
      </w:r>
      <w:r w:rsidR="00E95768">
        <w:rPr>
          <w:rFonts w:ascii="Arial" w:hAnsi="Arial" w:cs="Arial"/>
        </w:rPr>
        <w:t>.</w:t>
      </w:r>
      <w:r w:rsidR="006146D8">
        <w:rPr>
          <w:rFonts w:ascii="Arial" w:hAnsi="Arial" w:cs="Arial"/>
        </w:rPr>
        <w:t xml:space="preserve"> </w:t>
      </w:r>
    </w:p>
    <w:p w:rsidR="00375152" w:rsidP="00BD2ACA" w:rsidRDefault="00375152" w14:paraId="66EED400" w14:textId="77777777">
      <w:pPr>
        <w:spacing w:after="0" w:line="240" w:lineRule="auto"/>
        <w:rPr>
          <w:rFonts w:ascii="Arial" w:hAnsi="Arial" w:cs="Arial"/>
        </w:rPr>
      </w:pPr>
    </w:p>
    <w:p w:rsidRPr="000B04A4" w:rsidR="009D6D12" w:rsidP="00BD2ACA" w:rsidRDefault="006146D8" w14:paraId="6124390C" w14:textId="003E0913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This area will </w:t>
      </w:r>
      <w:r w:rsidR="00484A5E">
        <w:rPr>
          <w:rFonts w:ascii="Arial" w:hAnsi="Arial" w:cs="Arial"/>
        </w:rPr>
        <w:t xml:space="preserve">focus on </w:t>
      </w:r>
      <w:r w:rsidR="004B48AD">
        <w:rPr>
          <w:rFonts w:ascii="Arial" w:hAnsi="Arial" w:cs="Arial"/>
        </w:rPr>
        <w:t xml:space="preserve">transforming </w:t>
      </w:r>
      <w:r w:rsidR="005566D2">
        <w:rPr>
          <w:rFonts w:ascii="Arial" w:hAnsi="Arial" w:cs="Arial"/>
        </w:rPr>
        <w:t xml:space="preserve">the service </w:t>
      </w:r>
      <w:r w:rsidR="004B48AD">
        <w:rPr>
          <w:rFonts w:ascii="Arial" w:hAnsi="Arial" w:cs="Arial"/>
        </w:rPr>
        <w:t xml:space="preserve">to ensure it </w:t>
      </w:r>
      <w:r w:rsidR="005566D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targe</w:t>
      </w:r>
      <w:r w:rsidR="00456839">
        <w:rPr>
          <w:rFonts w:ascii="Arial" w:hAnsi="Arial" w:cs="Arial"/>
        </w:rPr>
        <w:t>ted, preventative and person-centred</w:t>
      </w:r>
      <w:r w:rsidR="002E2EB6">
        <w:rPr>
          <w:rFonts w:ascii="Arial" w:hAnsi="Arial" w:cs="Arial"/>
        </w:rPr>
        <w:t>,</w:t>
      </w:r>
      <w:r w:rsidR="00456839">
        <w:rPr>
          <w:rFonts w:ascii="Arial" w:hAnsi="Arial" w:cs="Arial"/>
        </w:rPr>
        <w:t xml:space="preserve"> </w:t>
      </w:r>
      <w:r w:rsidR="006B528F">
        <w:rPr>
          <w:rFonts w:ascii="Arial" w:hAnsi="Arial" w:cs="Arial"/>
        </w:rPr>
        <w:t>deliver</w:t>
      </w:r>
      <w:r w:rsidR="002E2EB6">
        <w:rPr>
          <w:rFonts w:ascii="Arial" w:hAnsi="Arial" w:cs="Arial"/>
        </w:rPr>
        <w:t>ing</w:t>
      </w:r>
      <w:r w:rsidR="006B528F">
        <w:rPr>
          <w:rFonts w:ascii="Arial" w:hAnsi="Arial" w:cs="Arial"/>
        </w:rPr>
        <w:t xml:space="preserve"> value for money</w:t>
      </w:r>
      <w:r w:rsidR="00A4443A">
        <w:rPr>
          <w:rFonts w:ascii="Arial" w:hAnsi="Arial" w:cs="Arial"/>
        </w:rPr>
        <w:t xml:space="preserve"> and improved outcomes</w:t>
      </w:r>
      <w:r w:rsidR="002F448B">
        <w:rPr>
          <w:rFonts w:ascii="Arial" w:hAnsi="Arial" w:cs="Arial"/>
        </w:rPr>
        <w:t xml:space="preserve"> in a </w:t>
      </w:r>
      <w:r w:rsidR="0015706D">
        <w:rPr>
          <w:rFonts w:ascii="Arial" w:hAnsi="Arial" w:cs="Arial"/>
        </w:rPr>
        <w:t>psychologically</w:t>
      </w:r>
      <w:r w:rsidR="002F448B">
        <w:rPr>
          <w:rFonts w:ascii="Arial" w:hAnsi="Arial" w:cs="Arial"/>
        </w:rPr>
        <w:t xml:space="preserve"> informed environment</w:t>
      </w:r>
      <w:r w:rsidR="00A4443A">
        <w:rPr>
          <w:rFonts w:ascii="Arial" w:hAnsi="Arial" w:cs="Arial"/>
        </w:rPr>
        <w:t>.</w:t>
      </w:r>
      <w:r w:rsidR="00216573">
        <w:rPr>
          <w:rFonts w:ascii="Arial" w:hAnsi="Arial" w:cs="Arial"/>
        </w:rPr>
        <w:t xml:space="preserve"> To support this work, a </w:t>
      </w:r>
      <w:r w:rsidRPr="009F07E3" w:rsidR="00216573">
        <w:rPr>
          <w:rFonts w:ascii="Arial" w:hAnsi="Arial" w:cs="Arial"/>
        </w:rPr>
        <w:t xml:space="preserve">comprehensive needs assessment was undertaken in </w:t>
      </w:r>
      <w:r w:rsidR="00216573">
        <w:rPr>
          <w:rFonts w:ascii="Arial" w:hAnsi="Arial" w:cs="Arial"/>
        </w:rPr>
        <w:t xml:space="preserve">November 2025, in </w:t>
      </w:r>
      <w:r w:rsidRPr="009F07E3" w:rsidR="00216573">
        <w:rPr>
          <w:rFonts w:ascii="Arial" w:hAnsi="Arial" w:cs="Arial"/>
        </w:rPr>
        <w:t>partnership with key stakeholders</w:t>
      </w:r>
      <w:r w:rsidR="00216573">
        <w:rPr>
          <w:rFonts w:ascii="Arial" w:hAnsi="Arial" w:cs="Arial"/>
        </w:rPr>
        <w:t>,</w:t>
      </w:r>
      <w:r w:rsidRPr="009F07E3" w:rsidR="00216573">
        <w:rPr>
          <w:rFonts w:ascii="Arial" w:hAnsi="Arial" w:cs="Arial"/>
        </w:rPr>
        <w:t xml:space="preserve"> and will be used to target the Housing Support Grant</w:t>
      </w:r>
      <w:r w:rsidR="00216573">
        <w:rPr>
          <w:rFonts w:ascii="Arial" w:hAnsi="Arial" w:cs="Arial"/>
        </w:rPr>
        <w:t xml:space="preserve">. </w:t>
      </w:r>
      <w:r w:rsidRPr="009F07E3" w:rsidR="00216573">
        <w:rPr>
          <w:rFonts w:ascii="Arial" w:hAnsi="Arial" w:cs="Arial"/>
        </w:rPr>
        <w:t xml:space="preserve">A summary of the key findings is presented in the Statement of Need </w:t>
      </w:r>
      <w:r w:rsidRPr="009F07E3" w:rsidR="00216573">
        <w:rPr>
          <w:rFonts w:ascii="Arial" w:hAnsi="Arial" w:cs="Arial"/>
          <w:highlight w:val="yellow"/>
        </w:rPr>
        <w:t>[link here].</w:t>
      </w:r>
    </w:p>
    <w:p w:rsidR="00BD2ACA" w:rsidP="00BD2ACA" w:rsidRDefault="00BD2ACA" w14:paraId="4139DDA9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7B1276" w:rsidP="00BD2ACA" w:rsidRDefault="007B1276" w14:paraId="3B2B552F" w14:textId="5CBC5C9D">
      <w:pPr>
        <w:pStyle w:val="Heading2"/>
      </w:pPr>
      <w:bookmarkStart w:name="_Toc215571023" w:id="5"/>
      <w:r>
        <w:t xml:space="preserve">Focus area 2: Partner </w:t>
      </w:r>
      <w:r w:rsidR="00CD77AE">
        <w:t>Working</w:t>
      </w:r>
      <w:bookmarkEnd w:id="5"/>
    </w:p>
    <w:p w:rsidR="00BD2ACA" w:rsidP="00BD2ACA" w:rsidRDefault="00BD2ACA" w14:paraId="71347041" w14:textId="77777777">
      <w:pPr>
        <w:spacing w:after="0" w:line="240" w:lineRule="auto"/>
        <w:rPr>
          <w:rFonts w:ascii="Arial" w:hAnsi="Arial" w:cs="Arial"/>
          <w:i/>
          <w:iCs/>
        </w:rPr>
      </w:pPr>
    </w:p>
    <w:p w:rsidR="007B1276" w:rsidP="00BD2ACA" w:rsidRDefault="007B1276" w14:paraId="086FBFEC" w14:textId="63F96213">
      <w:pPr>
        <w:spacing w:after="0" w:line="240" w:lineRule="auto"/>
        <w:rPr>
          <w:rFonts w:ascii="Arial" w:hAnsi="Arial" w:cs="Arial"/>
          <w:i/>
          <w:iCs/>
        </w:rPr>
      </w:pPr>
      <w:r w:rsidRPr="008866D6">
        <w:rPr>
          <w:rFonts w:ascii="Arial" w:hAnsi="Arial" w:cs="Arial"/>
          <w:i/>
          <w:iCs/>
        </w:rPr>
        <w:t>Objective:</w:t>
      </w:r>
      <w:r w:rsidRPr="00BA3149">
        <w:rPr>
          <w:rFonts w:ascii="Arial" w:hAnsi="Arial" w:cs="Arial"/>
          <w:i/>
          <w:iCs/>
        </w:rPr>
        <w:t xml:space="preserve"> Strengthen multi-agency collaboration to </w:t>
      </w:r>
      <w:r w:rsidR="0003634B">
        <w:rPr>
          <w:rFonts w:ascii="Arial" w:hAnsi="Arial" w:cs="Arial"/>
          <w:i/>
          <w:iCs/>
        </w:rPr>
        <w:t>develop clear, coordinated pathways into a broad range of services, beyond housing related support</w:t>
      </w:r>
      <w:r w:rsidR="008B2C63">
        <w:rPr>
          <w:rFonts w:ascii="Arial" w:hAnsi="Arial" w:cs="Arial"/>
          <w:i/>
          <w:iCs/>
        </w:rPr>
        <w:t xml:space="preserve"> ensuring individuals receive the right support at the right time</w:t>
      </w:r>
      <w:r w:rsidRPr="00BA3149">
        <w:rPr>
          <w:rFonts w:ascii="Arial" w:hAnsi="Arial" w:cs="Arial"/>
          <w:i/>
          <w:iCs/>
        </w:rPr>
        <w:t xml:space="preserve"> </w:t>
      </w:r>
    </w:p>
    <w:p w:rsidR="00BD2ACA" w:rsidP="00BD2ACA" w:rsidRDefault="00BD2ACA" w14:paraId="7AAF2439" w14:textId="77777777">
      <w:pPr>
        <w:spacing w:after="0" w:line="240" w:lineRule="auto"/>
        <w:rPr>
          <w:rFonts w:ascii="Arial" w:hAnsi="Arial" w:cs="Arial"/>
        </w:rPr>
      </w:pPr>
    </w:p>
    <w:p w:rsidR="0037211F" w:rsidP="00BD2ACA" w:rsidRDefault="00F86237" w14:paraId="482D6D3D" w14:textId="03C369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21E6E">
        <w:rPr>
          <w:rFonts w:ascii="Arial" w:hAnsi="Arial" w:cs="Arial"/>
        </w:rPr>
        <w:t>ften individuals and households require support from multiple services</w:t>
      </w:r>
      <w:r w:rsidR="00D967C5">
        <w:rPr>
          <w:rFonts w:ascii="Arial" w:hAnsi="Arial" w:cs="Arial"/>
        </w:rPr>
        <w:t>, however, due to unprecedented levels of demand in recent years</w:t>
      </w:r>
      <w:r w:rsidR="00FD1E1C">
        <w:rPr>
          <w:rFonts w:ascii="Arial" w:hAnsi="Arial" w:cs="Arial"/>
        </w:rPr>
        <w:t xml:space="preserve">, access to multiple services at the right time has </w:t>
      </w:r>
      <w:r w:rsidR="00EC5335">
        <w:rPr>
          <w:rFonts w:ascii="Arial" w:hAnsi="Arial" w:cs="Arial"/>
        </w:rPr>
        <w:t>been challenging, leading to missed opportunities for early and effective interventions.</w:t>
      </w:r>
    </w:p>
    <w:p w:rsidR="00BD2ACA" w:rsidP="00BD2ACA" w:rsidRDefault="00BD2ACA" w14:paraId="23762CDF" w14:textId="77777777">
      <w:pPr>
        <w:spacing w:after="0" w:line="240" w:lineRule="auto"/>
        <w:rPr>
          <w:rFonts w:ascii="Arial" w:hAnsi="Arial" w:cs="Arial"/>
        </w:rPr>
      </w:pPr>
    </w:p>
    <w:p w:rsidRPr="000B04A4" w:rsidR="00747EAB" w:rsidP="00BD2ACA" w:rsidRDefault="00884060" w14:paraId="1DBE77F1" w14:textId="2C0DAB6D">
      <w:pPr>
        <w:spacing w:after="0" w:line="240" w:lineRule="auto"/>
        <w:rPr>
          <w:rFonts w:ascii="Arial" w:hAnsi="Arial" w:cs="Arial"/>
          <w:i/>
          <w:iCs/>
        </w:rPr>
      </w:pPr>
      <w:r w:rsidRPr="06F9BBC2">
        <w:rPr>
          <w:rFonts w:ascii="Arial" w:hAnsi="Arial" w:cs="Arial"/>
        </w:rPr>
        <w:t xml:space="preserve">This area will focus on ensuring all partners including health, third sector organisations, police and probation services, education </w:t>
      </w:r>
      <w:r w:rsidRPr="06F9BBC2" w:rsidR="001D6148">
        <w:rPr>
          <w:rFonts w:ascii="Arial" w:hAnsi="Arial" w:cs="Arial"/>
        </w:rPr>
        <w:t xml:space="preserve">and social care are engaged and </w:t>
      </w:r>
      <w:r w:rsidRPr="06F9BBC2" w:rsidR="033EE885">
        <w:rPr>
          <w:rFonts w:ascii="Arial" w:hAnsi="Arial" w:cs="Arial"/>
        </w:rPr>
        <w:t xml:space="preserve">integrated </w:t>
      </w:r>
      <w:r w:rsidRPr="06F9BBC2" w:rsidR="001D6148">
        <w:rPr>
          <w:rFonts w:ascii="Arial" w:hAnsi="Arial" w:cs="Arial"/>
        </w:rPr>
        <w:t xml:space="preserve">working collectively to deliver the right support at the right time, </w:t>
      </w:r>
      <w:r w:rsidRPr="06F9BBC2" w:rsidR="00747EAB">
        <w:rPr>
          <w:rFonts w:ascii="Arial" w:hAnsi="Arial" w:cs="Arial"/>
        </w:rPr>
        <w:t>avoiding duplication and responding to the needs of local people.</w:t>
      </w:r>
    </w:p>
    <w:p w:rsidR="00BD2ACA" w:rsidP="00BD2ACA" w:rsidRDefault="00BD2ACA" w14:paraId="3FF783CB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B03CFA" w:rsidP="00BD2ACA" w:rsidRDefault="002A2F21" w14:paraId="74717A31" w14:textId="07A42A4D">
      <w:pPr>
        <w:pStyle w:val="Heading2"/>
      </w:pPr>
      <w:bookmarkStart w:name="_Toc215571024" w:id="6"/>
      <w:r w:rsidRPr="06F9BBC2">
        <w:t xml:space="preserve">Focus area </w:t>
      </w:r>
      <w:r w:rsidRPr="06F9BBC2" w:rsidR="007B1276">
        <w:t>3</w:t>
      </w:r>
      <w:r w:rsidRPr="06F9BBC2">
        <w:t xml:space="preserve">: </w:t>
      </w:r>
      <w:r w:rsidRPr="06F9BBC2" w:rsidR="30134D90">
        <w:t xml:space="preserve">Lived </w:t>
      </w:r>
      <w:r w:rsidRPr="06F9BBC2" w:rsidR="00C33E4B">
        <w:t>Experience Co</w:t>
      </w:r>
      <w:r w:rsidRPr="06F9BBC2" w:rsidR="63344BF2">
        <w:t>-production</w:t>
      </w:r>
      <w:bookmarkEnd w:id="6"/>
    </w:p>
    <w:p w:rsidR="00BD2ACA" w:rsidP="00BD2ACA" w:rsidRDefault="00BD2ACA" w14:paraId="1A0082D4" w14:textId="77777777">
      <w:pPr>
        <w:spacing w:after="0" w:line="240" w:lineRule="auto"/>
        <w:rPr>
          <w:rFonts w:ascii="Arial" w:hAnsi="Arial" w:cs="Arial"/>
          <w:i/>
          <w:iCs/>
        </w:rPr>
      </w:pPr>
    </w:p>
    <w:p w:rsidR="00BA3149" w:rsidP="00BD2ACA" w:rsidRDefault="00BA3149" w14:paraId="1A92F404" w14:textId="1587E8F4">
      <w:pPr>
        <w:spacing w:after="0" w:line="240" w:lineRule="auto"/>
        <w:rPr>
          <w:rFonts w:ascii="Arial" w:hAnsi="Arial" w:cs="Arial"/>
          <w:i/>
          <w:iCs/>
        </w:rPr>
      </w:pPr>
      <w:r w:rsidRPr="008866D6">
        <w:rPr>
          <w:rFonts w:ascii="Arial" w:hAnsi="Arial" w:cs="Arial"/>
          <w:i/>
          <w:iCs/>
        </w:rPr>
        <w:t>Objective:</w:t>
      </w:r>
      <w:r w:rsidRPr="00BA3149">
        <w:rPr>
          <w:rFonts w:ascii="Arial" w:hAnsi="Arial" w:cs="Arial"/>
          <w:i/>
          <w:iCs/>
        </w:rPr>
        <w:t xml:space="preserve"> </w:t>
      </w:r>
      <w:r w:rsidR="00766BBF">
        <w:rPr>
          <w:rFonts w:ascii="Arial" w:hAnsi="Arial" w:cs="Arial"/>
          <w:i/>
          <w:iCs/>
        </w:rPr>
        <w:t xml:space="preserve">Place </w:t>
      </w:r>
      <w:r w:rsidR="00A2621E">
        <w:rPr>
          <w:rFonts w:ascii="Arial" w:hAnsi="Arial" w:cs="Arial"/>
          <w:i/>
          <w:iCs/>
        </w:rPr>
        <w:t>people with lived experience</w:t>
      </w:r>
      <w:r w:rsidR="00766BBF">
        <w:rPr>
          <w:rFonts w:ascii="Arial" w:hAnsi="Arial" w:cs="Arial"/>
          <w:i/>
          <w:iCs/>
        </w:rPr>
        <w:t xml:space="preserve"> at the heart of the Housing Support Grant Programme by </w:t>
      </w:r>
      <w:r w:rsidR="00AA3086">
        <w:rPr>
          <w:rFonts w:ascii="Arial" w:hAnsi="Arial" w:cs="Arial"/>
          <w:i/>
          <w:iCs/>
        </w:rPr>
        <w:t xml:space="preserve">actively engaging them in the </w:t>
      </w:r>
      <w:r w:rsidR="00A2621E">
        <w:rPr>
          <w:rFonts w:ascii="Arial" w:hAnsi="Arial" w:cs="Arial"/>
          <w:i/>
          <w:iCs/>
        </w:rPr>
        <w:t>design, development and evaluation of services</w:t>
      </w:r>
    </w:p>
    <w:p w:rsidR="00BD2ACA" w:rsidP="00BD2ACA" w:rsidRDefault="00BD2ACA" w14:paraId="5DFB6BFC" w14:textId="77777777">
      <w:pPr>
        <w:spacing w:after="0" w:line="240" w:lineRule="auto"/>
        <w:rPr>
          <w:rFonts w:ascii="Arial" w:hAnsi="Arial" w:cs="Arial"/>
        </w:rPr>
      </w:pPr>
    </w:p>
    <w:p w:rsidR="009725F6" w:rsidP="00BD2ACA" w:rsidRDefault="00311AFD" w14:paraId="524DA3F0" w14:textId="20A7BC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Previously, support services have been developed without fully understanding the complexities of people’s needs</w:t>
      </w:r>
      <w:r w:rsidR="00334B32">
        <w:rPr>
          <w:rFonts w:ascii="Arial" w:hAnsi="Arial" w:cs="Arial"/>
        </w:rPr>
        <w:t xml:space="preserve"> and/or the barriers they face, which can lead to </w:t>
      </w:r>
      <w:r w:rsidR="00467627">
        <w:rPr>
          <w:rFonts w:ascii="Arial" w:hAnsi="Arial" w:cs="Arial"/>
        </w:rPr>
        <w:t>people choosing to not access the service.</w:t>
      </w:r>
    </w:p>
    <w:p w:rsidR="00375152" w:rsidP="00BD2ACA" w:rsidRDefault="00375152" w14:paraId="27EB1798" w14:textId="77777777">
      <w:pPr>
        <w:spacing w:after="0" w:line="240" w:lineRule="auto"/>
        <w:rPr>
          <w:rFonts w:ascii="Arial" w:hAnsi="Arial" w:cs="Arial"/>
        </w:rPr>
      </w:pPr>
    </w:p>
    <w:p w:rsidR="00766BBF" w:rsidP="00BD2ACA" w:rsidRDefault="009725F6" w14:paraId="0A9ECEFC" w14:textId="7347E362">
      <w:pPr>
        <w:spacing w:after="0" w:line="240" w:lineRule="auto"/>
        <w:rPr>
          <w:rFonts w:ascii="Arial" w:hAnsi="Arial" w:cs="Arial"/>
          <w:b/>
          <w:bCs/>
        </w:rPr>
      </w:pPr>
      <w:r w:rsidRPr="06F9BBC2">
        <w:rPr>
          <w:rFonts w:ascii="Arial" w:hAnsi="Arial" w:cs="Arial"/>
        </w:rPr>
        <w:t>This area will focus on ensuring support is shaped</w:t>
      </w:r>
      <w:r w:rsidRPr="06F9BBC2" w:rsidR="00EB6E6E">
        <w:rPr>
          <w:rFonts w:ascii="Arial" w:hAnsi="Arial" w:cs="Arial"/>
        </w:rPr>
        <w:t xml:space="preserve"> to meet the needs of those who will be accessing the service and </w:t>
      </w:r>
      <w:r w:rsidRPr="06F9BBC2" w:rsidR="00446372">
        <w:rPr>
          <w:rFonts w:ascii="Arial" w:hAnsi="Arial" w:cs="Arial"/>
        </w:rPr>
        <w:t xml:space="preserve">promote improved </w:t>
      </w:r>
      <w:r w:rsidRPr="06F9BBC2" w:rsidR="00C559BA">
        <w:rPr>
          <w:rFonts w:ascii="Arial" w:hAnsi="Arial" w:cs="Arial"/>
        </w:rPr>
        <w:t>engagement.</w:t>
      </w:r>
    </w:p>
    <w:p w:rsidR="00BD2ACA" w:rsidP="00BD2ACA" w:rsidRDefault="00BD2ACA" w14:paraId="3FFE736F" w14:textId="77777777">
      <w:pPr>
        <w:spacing w:after="0" w:line="240" w:lineRule="auto"/>
        <w:rPr>
          <w:rFonts w:ascii="Arial" w:hAnsi="Arial" w:cs="Arial"/>
        </w:rPr>
      </w:pPr>
    </w:p>
    <w:p w:rsidR="2C8FCBE4" w:rsidP="00BD2ACA" w:rsidRDefault="2C8FCBE4" w14:paraId="2D01F300" w14:textId="116A8F0C">
      <w:pPr>
        <w:spacing w:after="0" w:line="240" w:lineRule="auto"/>
        <w:rPr>
          <w:rFonts w:ascii="Arial" w:hAnsi="Arial" w:cs="Arial"/>
        </w:rPr>
      </w:pPr>
      <w:r w:rsidRPr="06F9BBC2">
        <w:rPr>
          <w:rFonts w:ascii="Arial" w:hAnsi="Arial" w:cs="Arial"/>
        </w:rPr>
        <w:t>We want to move from engaging people with lived experience to co-producing services with those affected by h</w:t>
      </w:r>
      <w:r w:rsidRPr="06F9BBC2" w:rsidR="3DAC1E64">
        <w:rPr>
          <w:rFonts w:ascii="Arial" w:hAnsi="Arial" w:cs="Arial"/>
        </w:rPr>
        <w:t xml:space="preserve">omelessness. </w:t>
      </w:r>
    </w:p>
    <w:p w:rsidR="00BD2ACA" w:rsidP="00BD2ACA" w:rsidRDefault="00BD2ACA" w14:paraId="0198085D" w14:textId="77777777">
      <w:pPr>
        <w:spacing w:after="0" w:line="240" w:lineRule="auto"/>
        <w:rPr>
          <w:rFonts w:ascii="Arial" w:hAnsi="Arial" w:cs="Arial"/>
        </w:rPr>
      </w:pPr>
    </w:p>
    <w:p w:rsidRPr="00BD2ACA" w:rsidR="001068DF" w:rsidP="00BD2ACA" w:rsidRDefault="007B0B66" w14:paraId="0DBC3C15" w14:textId="1F9F4C62">
      <w:pPr>
        <w:pStyle w:val="Heading1"/>
      </w:pPr>
      <w:bookmarkStart w:name="_Toc215571025" w:id="7"/>
      <w:r w:rsidRPr="00BD2ACA">
        <w:t>3</w:t>
      </w:r>
      <w:r w:rsidRPr="00BD2ACA" w:rsidR="001068DF">
        <w:tab/>
      </w:r>
      <w:r w:rsidRPr="00BD2ACA" w:rsidR="001068DF">
        <w:t>Resources</w:t>
      </w:r>
      <w:bookmarkEnd w:id="7"/>
    </w:p>
    <w:p w:rsidR="00BD2ACA" w:rsidP="00BD2ACA" w:rsidRDefault="00BD2ACA" w14:paraId="4A0AE45C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C4723B" w:rsidR="00DF4462" w:rsidP="00BD2ACA" w:rsidRDefault="00DF4462" w14:paraId="2706B87D" w14:textId="28A12B67">
      <w:pPr>
        <w:pStyle w:val="Heading2"/>
      </w:pPr>
      <w:bookmarkStart w:name="_Toc215571026" w:id="8"/>
      <w:r w:rsidRPr="00C4723B">
        <w:t>Staffing</w:t>
      </w:r>
      <w:bookmarkEnd w:id="8"/>
    </w:p>
    <w:p w:rsidR="00BD2ACA" w:rsidP="00BD2ACA" w:rsidRDefault="00BD2ACA" w14:paraId="32CE2061" w14:textId="77777777">
      <w:pPr>
        <w:spacing w:after="0" w:line="240" w:lineRule="auto"/>
        <w:rPr>
          <w:rFonts w:ascii="Arial" w:hAnsi="Arial" w:cs="Arial"/>
        </w:rPr>
      </w:pPr>
    </w:p>
    <w:p w:rsidRPr="001013B8" w:rsidR="001013B8" w:rsidP="00BD2ACA" w:rsidRDefault="00140194" w14:paraId="598167E1" w14:textId="1EE784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Housing Support Programme </w:t>
      </w:r>
      <w:r w:rsidR="0072239D">
        <w:rPr>
          <w:rFonts w:ascii="Arial" w:hAnsi="Arial" w:cs="Arial"/>
        </w:rPr>
        <w:t>is led by the Housing Support Grant Manager</w:t>
      </w:r>
      <w:r w:rsidR="009852F0">
        <w:rPr>
          <w:rFonts w:ascii="Arial" w:hAnsi="Arial" w:cs="Arial"/>
        </w:rPr>
        <w:t>, who is responsible for</w:t>
      </w:r>
      <w:r w:rsidR="00E40B6C">
        <w:rPr>
          <w:rFonts w:ascii="Arial" w:hAnsi="Arial" w:cs="Arial"/>
        </w:rPr>
        <w:t xml:space="preserve"> </w:t>
      </w:r>
      <w:r w:rsidR="00584EB6">
        <w:rPr>
          <w:rFonts w:ascii="Arial" w:hAnsi="Arial" w:cs="Arial"/>
        </w:rPr>
        <w:t>coordinating</w:t>
      </w:r>
      <w:r w:rsidR="009852F0">
        <w:rPr>
          <w:rFonts w:ascii="Arial" w:hAnsi="Arial" w:cs="Arial"/>
        </w:rPr>
        <w:t xml:space="preserve"> the design</w:t>
      </w:r>
      <w:r w:rsidR="00E40B6C">
        <w:rPr>
          <w:rFonts w:ascii="Arial" w:hAnsi="Arial" w:cs="Arial"/>
        </w:rPr>
        <w:t xml:space="preserve">, </w:t>
      </w:r>
      <w:r w:rsidR="009852F0">
        <w:rPr>
          <w:rFonts w:ascii="Arial" w:hAnsi="Arial" w:cs="Arial"/>
        </w:rPr>
        <w:t xml:space="preserve">commissioning </w:t>
      </w:r>
      <w:r w:rsidR="00E40B6C">
        <w:rPr>
          <w:rFonts w:ascii="Arial" w:hAnsi="Arial" w:cs="Arial"/>
        </w:rPr>
        <w:t xml:space="preserve">and </w:t>
      </w:r>
      <w:r w:rsidR="00584EB6">
        <w:rPr>
          <w:rFonts w:ascii="Arial" w:hAnsi="Arial" w:cs="Arial"/>
        </w:rPr>
        <w:t xml:space="preserve">review </w:t>
      </w:r>
      <w:r w:rsidR="009852F0">
        <w:rPr>
          <w:rFonts w:ascii="Arial" w:hAnsi="Arial" w:cs="Arial"/>
        </w:rPr>
        <w:t>of</w:t>
      </w:r>
      <w:r w:rsidR="00584EB6">
        <w:rPr>
          <w:rFonts w:ascii="Arial" w:hAnsi="Arial" w:cs="Arial"/>
        </w:rPr>
        <w:t xml:space="preserve"> existing </w:t>
      </w:r>
      <w:r w:rsidR="009852F0">
        <w:rPr>
          <w:rFonts w:ascii="Arial" w:hAnsi="Arial" w:cs="Arial"/>
        </w:rPr>
        <w:t>services. The HSG Manager</w:t>
      </w:r>
      <w:r w:rsidR="0072239D">
        <w:rPr>
          <w:rFonts w:ascii="Arial" w:hAnsi="Arial" w:cs="Arial"/>
        </w:rPr>
        <w:t xml:space="preserve"> is supported by three Contract and Reviewing Officers, responsible for </w:t>
      </w:r>
      <w:r w:rsidR="00006B8D">
        <w:rPr>
          <w:rFonts w:ascii="Arial" w:hAnsi="Arial" w:cs="Arial"/>
        </w:rPr>
        <w:t>monitoring and reviewing HSG commissioned services</w:t>
      </w:r>
      <w:r w:rsidR="009852F0">
        <w:rPr>
          <w:rFonts w:ascii="Arial" w:hAnsi="Arial" w:cs="Arial"/>
        </w:rPr>
        <w:t xml:space="preserve"> and a Single Pathway Officer, responsible for </w:t>
      </w:r>
      <w:r w:rsidR="00F2301D">
        <w:rPr>
          <w:rFonts w:ascii="Arial" w:hAnsi="Arial" w:cs="Arial"/>
        </w:rPr>
        <w:t xml:space="preserve">processing and coordinating </w:t>
      </w:r>
      <w:r w:rsidR="004B77EB">
        <w:rPr>
          <w:rFonts w:ascii="Arial" w:hAnsi="Arial" w:cs="Arial"/>
        </w:rPr>
        <w:t>referrals.</w:t>
      </w:r>
    </w:p>
    <w:p w:rsidR="00BD2ACA" w:rsidP="00BD2ACA" w:rsidRDefault="00BD2ACA" w14:paraId="7742BB64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B03AD0" w:rsidP="00BD2ACA" w:rsidRDefault="00B03AD0" w14:paraId="5CF5CA04" w14:textId="28BD0A59">
      <w:pPr>
        <w:pStyle w:val="Heading2"/>
      </w:pPr>
      <w:bookmarkStart w:name="_Toc215571027" w:id="9"/>
      <w:r>
        <w:t>Housing Support Grant</w:t>
      </w:r>
      <w:bookmarkEnd w:id="9"/>
    </w:p>
    <w:p w:rsidR="00BD2ACA" w:rsidP="00BD2ACA" w:rsidRDefault="00BD2ACA" w14:paraId="05AC4ED0" w14:textId="77777777">
      <w:pPr>
        <w:spacing w:after="0" w:line="240" w:lineRule="auto"/>
        <w:rPr>
          <w:rFonts w:ascii="Arial" w:hAnsi="Arial" w:cs="Arial"/>
        </w:rPr>
      </w:pPr>
    </w:p>
    <w:p w:rsidRPr="00B03AD0" w:rsidR="005E6E24" w:rsidP="00BD2ACA" w:rsidRDefault="00705A4B" w14:paraId="58850994" w14:textId="561BDAF8">
      <w:pPr>
        <w:spacing w:after="0" w:line="240" w:lineRule="auto"/>
        <w:rPr>
          <w:rFonts w:ascii="Arial" w:hAnsi="Arial" w:cs="Arial"/>
        </w:rPr>
      </w:pPr>
      <w:r w:rsidRPr="1925074D">
        <w:rPr>
          <w:rFonts w:ascii="Arial" w:hAnsi="Arial" w:cs="Arial"/>
        </w:rPr>
        <w:t xml:space="preserve">Conwy </w:t>
      </w:r>
      <w:r w:rsidRPr="1925074D" w:rsidR="00910527">
        <w:rPr>
          <w:rFonts w:ascii="Arial" w:hAnsi="Arial" w:cs="Arial"/>
        </w:rPr>
        <w:t>C</w:t>
      </w:r>
      <w:r w:rsidR="00910527">
        <w:rPr>
          <w:rFonts w:ascii="Arial" w:hAnsi="Arial" w:cs="Arial"/>
        </w:rPr>
        <w:t>ounty</w:t>
      </w:r>
      <w:r w:rsidRPr="1925074D" w:rsidR="00910527">
        <w:rPr>
          <w:rFonts w:ascii="Arial" w:hAnsi="Arial" w:cs="Arial"/>
        </w:rPr>
        <w:t xml:space="preserve"> </w:t>
      </w:r>
      <w:r w:rsidRPr="1925074D" w:rsidR="00800A41">
        <w:rPr>
          <w:rFonts w:ascii="Arial" w:hAnsi="Arial" w:cs="Arial"/>
        </w:rPr>
        <w:t>Borough Council has been allocated £</w:t>
      </w:r>
      <w:r w:rsidRPr="1925074D" w:rsidR="7DDC1B05">
        <w:rPr>
          <w:rFonts w:ascii="Arial" w:hAnsi="Arial" w:cs="Arial"/>
        </w:rPr>
        <w:t>10,593,142.88</w:t>
      </w:r>
      <w:r w:rsidRPr="1925074D" w:rsidR="1025EFBF">
        <w:rPr>
          <w:rFonts w:ascii="Arial" w:hAnsi="Arial" w:cs="Arial"/>
        </w:rPr>
        <w:t xml:space="preserve"> </w:t>
      </w:r>
      <w:r w:rsidRPr="1925074D" w:rsidR="00800A41">
        <w:rPr>
          <w:rFonts w:ascii="Arial" w:hAnsi="Arial" w:cs="Arial"/>
        </w:rPr>
        <w:t>Housing Support Grant</w:t>
      </w:r>
      <w:r w:rsidRPr="1925074D" w:rsidR="005E6E24">
        <w:rPr>
          <w:rFonts w:ascii="Arial" w:hAnsi="Arial" w:cs="Arial"/>
        </w:rPr>
        <w:t xml:space="preserve"> in 2025/26.</w:t>
      </w:r>
    </w:p>
    <w:p w:rsidR="00BD2ACA" w:rsidP="00BD2ACA" w:rsidRDefault="00BD2ACA" w14:paraId="597EAC3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F96040" w:rsidR="00B122E1" w:rsidP="00BD2ACA" w:rsidRDefault="00B122E1" w14:paraId="24B6E1CA" w14:textId="3E58388F">
      <w:pPr>
        <w:pStyle w:val="Heading2"/>
      </w:pPr>
      <w:bookmarkStart w:name="_Toc215571028" w:id="10"/>
      <w:r w:rsidRPr="00F96040">
        <w:t>Partnership working</w:t>
      </w:r>
      <w:bookmarkEnd w:id="10"/>
    </w:p>
    <w:p w:rsidR="00BD2ACA" w:rsidP="00BD2ACA" w:rsidRDefault="00BD2ACA" w14:paraId="4196CE53" w14:textId="77777777">
      <w:pPr>
        <w:spacing w:after="0" w:line="240" w:lineRule="auto"/>
        <w:rPr>
          <w:rFonts w:ascii="Arial" w:hAnsi="Arial" w:cs="Arial"/>
        </w:rPr>
      </w:pPr>
    </w:p>
    <w:p w:rsidR="00B122E1" w:rsidP="00BD2ACA" w:rsidRDefault="00B122E1" w14:paraId="1700CF0A" w14:textId="06A91E31">
      <w:pPr>
        <w:spacing w:after="0" w:line="240" w:lineRule="auto"/>
        <w:rPr>
          <w:rFonts w:ascii="Arial" w:hAnsi="Arial" w:cs="Arial"/>
        </w:rPr>
      </w:pPr>
      <w:r w:rsidRPr="06F9BBC2">
        <w:rPr>
          <w:rFonts w:ascii="Arial" w:hAnsi="Arial" w:cs="Arial"/>
        </w:rPr>
        <w:t>The delivery of the Plan is underpinned by a commitment to collaboration and innovation.</w:t>
      </w:r>
      <w:r w:rsidRPr="06F9BBC2" w:rsidR="0433F042">
        <w:rPr>
          <w:rFonts w:ascii="Arial" w:hAnsi="Arial" w:cs="Arial"/>
        </w:rPr>
        <w:t xml:space="preserve"> </w:t>
      </w:r>
      <w:r w:rsidRPr="06F9BBC2" w:rsidR="474A606A">
        <w:rPr>
          <w:rFonts w:ascii="Arial" w:hAnsi="Arial" w:cs="Arial"/>
        </w:rPr>
        <w:t xml:space="preserve">A multi-agency group including social care, health, probation and a provider representative </w:t>
      </w:r>
      <w:r w:rsidRPr="06F9BBC2" w:rsidR="42B71DFD">
        <w:rPr>
          <w:rFonts w:ascii="Arial" w:hAnsi="Arial" w:cs="Arial"/>
        </w:rPr>
        <w:t>will provide o</w:t>
      </w:r>
      <w:r w:rsidRPr="06F9BBC2" w:rsidR="0433F042">
        <w:rPr>
          <w:rFonts w:ascii="Arial" w:hAnsi="Arial" w:cs="Arial"/>
        </w:rPr>
        <w:t>versight of the programme</w:t>
      </w:r>
      <w:r w:rsidRPr="06F9BBC2" w:rsidR="00F0A78D">
        <w:rPr>
          <w:rFonts w:ascii="Arial" w:hAnsi="Arial" w:cs="Arial"/>
        </w:rPr>
        <w:t>.</w:t>
      </w:r>
    </w:p>
    <w:p w:rsidR="00BD2ACA" w:rsidP="00BD2ACA" w:rsidRDefault="00BD2ACA" w14:paraId="3D8D8FBC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1068DF" w:rsidP="00BD2ACA" w:rsidRDefault="007B0B66" w14:paraId="6BF66372" w14:textId="51762C47">
      <w:pPr>
        <w:pStyle w:val="Heading1"/>
      </w:pPr>
      <w:bookmarkStart w:name="_Toc215571029" w:id="11"/>
      <w:r>
        <w:t>4</w:t>
      </w:r>
      <w:r w:rsidR="001068DF">
        <w:tab/>
      </w:r>
      <w:r w:rsidR="001068DF">
        <w:t>Monitoring Success</w:t>
      </w:r>
      <w:bookmarkEnd w:id="11"/>
    </w:p>
    <w:p w:rsidR="00BD2ACA" w:rsidP="00BD2ACA" w:rsidRDefault="00BD2ACA" w14:paraId="19B7ACD1" w14:textId="77777777">
      <w:pPr>
        <w:spacing w:after="0" w:line="240" w:lineRule="auto"/>
        <w:rPr>
          <w:rFonts w:ascii="Arial" w:hAnsi="Arial" w:cs="Arial"/>
        </w:rPr>
      </w:pPr>
    </w:p>
    <w:p w:rsidR="004206F4" w:rsidP="00BD2ACA" w:rsidRDefault="004206F4" w14:paraId="566DAD2A" w14:textId="7AD007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success of the Plan will be measured through a combination of quantitative and qualitative indicators, aligned with the Welsh Government priorities and CCBC’s strategic objectives noted in section two.</w:t>
      </w:r>
    </w:p>
    <w:p w:rsidR="00BD2ACA" w:rsidP="00BD2ACA" w:rsidRDefault="00BD2ACA" w14:paraId="255CF7D0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482278" w:rsidR="004206F4" w:rsidP="00BD2ACA" w:rsidRDefault="004206F4" w14:paraId="4898F5EE" w14:textId="366D9795">
      <w:pPr>
        <w:pStyle w:val="Heading2"/>
      </w:pPr>
      <w:bookmarkStart w:name="_Toc215571030" w:id="12"/>
      <w:r w:rsidRPr="00482278">
        <w:t>Welsh Government Key Performance Indicators (KPIs)</w:t>
      </w:r>
      <w:bookmarkEnd w:id="12"/>
    </w:p>
    <w:p w:rsidR="00BD2ACA" w:rsidP="00BD2ACA" w:rsidRDefault="00BD2ACA" w14:paraId="3F8AF6A2" w14:textId="77777777">
      <w:pPr>
        <w:spacing w:after="0" w:line="240" w:lineRule="auto"/>
        <w:rPr>
          <w:rFonts w:ascii="Arial" w:hAnsi="Arial" w:cs="Arial"/>
        </w:rPr>
      </w:pPr>
    </w:p>
    <w:p w:rsidR="004206F4" w:rsidP="00BD2ACA" w:rsidRDefault="004206F4" w14:paraId="2F1F84DA" w14:textId="7A9BA1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Progress will be monitored against the following KPIs:</w:t>
      </w:r>
    </w:p>
    <w:p w:rsidR="00375152" w:rsidP="00BD2ACA" w:rsidRDefault="00375152" w14:paraId="50F822D0" w14:textId="77777777">
      <w:pPr>
        <w:spacing w:after="0" w:line="240" w:lineRule="auto"/>
        <w:rPr>
          <w:rFonts w:ascii="Arial" w:hAnsi="Arial" w:cs="Arial"/>
        </w:rPr>
      </w:pPr>
    </w:p>
    <w:p w:rsidR="004206F4" w:rsidP="00BD2ACA" w:rsidRDefault="006023D0" w14:paraId="67386D6B" w14:textId="5A5C547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1925074D">
        <w:rPr>
          <w:rFonts w:ascii="Arial" w:hAnsi="Arial" w:cs="Arial"/>
        </w:rPr>
        <w:t>HSG outcomes</w:t>
      </w:r>
      <w:r w:rsidR="00375152">
        <w:rPr>
          <w:rFonts w:ascii="Arial" w:hAnsi="Arial" w:cs="Arial"/>
        </w:rPr>
        <w:t>.</w:t>
      </w:r>
    </w:p>
    <w:p w:rsidRPr="009E22DC" w:rsidR="00375152" w:rsidP="00375152" w:rsidRDefault="00375152" w14:paraId="4932E7EC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Pr="00BD2ACA" w:rsidR="65DF2D4B" w:rsidP="00BD2ACA" w:rsidRDefault="65DF2D4B" w14:paraId="2EC8D1AC" w14:textId="793762BE">
      <w:pPr>
        <w:spacing w:after="0" w:line="240" w:lineRule="auto"/>
        <w:rPr>
          <w:rFonts w:ascii="Arial" w:hAnsi="Arial" w:eastAsia="Arial" w:cs="Arial"/>
          <w:b/>
          <w:bCs/>
          <w:i/>
          <w:iCs/>
          <w:color w:val="00927E"/>
        </w:rPr>
      </w:pPr>
      <w:hyperlink r:id="rId8">
        <w:r w:rsidRPr="00BD2ACA">
          <w:rPr>
            <w:rStyle w:val="Hyperlink"/>
            <w:rFonts w:ascii="Arial" w:hAnsi="Arial" w:eastAsia="Arial" w:cs="Arial"/>
            <w:b/>
            <w:bCs/>
            <w:i/>
            <w:iCs/>
            <w:color w:val="00927E"/>
          </w:rPr>
          <w:t>housing-support-grant-outcomes-framework (2).pdf</w:t>
        </w:r>
      </w:hyperlink>
    </w:p>
    <w:p w:rsidR="00BD2ACA" w:rsidP="00BD2ACA" w:rsidRDefault="00BD2ACA" w14:paraId="2BEE18ED" w14:textId="77777777">
      <w:pPr>
        <w:spacing w:after="0" w:line="240" w:lineRule="auto"/>
        <w:rPr>
          <w:rFonts w:ascii="Arial" w:hAnsi="Arial" w:cs="Arial"/>
        </w:rPr>
      </w:pPr>
    </w:p>
    <w:p w:rsidR="004206F4" w:rsidP="00BD2ACA" w:rsidRDefault="004206F4" w14:paraId="31637297" w14:textId="7922178B">
      <w:pPr>
        <w:spacing w:after="0" w:line="240" w:lineRule="auto"/>
        <w:rPr>
          <w:rFonts w:ascii="Arial" w:hAnsi="Arial" w:cs="Arial"/>
        </w:rPr>
      </w:pPr>
      <w:r w:rsidRPr="1925074D">
        <w:rPr>
          <w:rFonts w:ascii="Arial" w:hAnsi="Arial" w:cs="Arial"/>
        </w:rPr>
        <w:t>KPIs will be used to benchmark performance against other local authorities and previous performance in Conwy.</w:t>
      </w:r>
    </w:p>
    <w:p w:rsidR="00BD2ACA" w:rsidP="00BD2ACA" w:rsidRDefault="00BD2ACA" w14:paraId="7D03C1AA" w14:textId="77777777">
      <w:pPr>
        <w:spacing w:after="0" w:line="240" w:lineRule="auto"/>
        <w:rPr>
          <w:rFonts w:ascii="Arial" w:hAnsi="Arial" w:cs="Arial"/>
        </w:rPr>
      </w:pPr>
    </w:p>
    <w:p w:rsidR="19D2D141" w:rsidP="00BD2ACA" w:rsidRDefault="19D2D141" w14:paraId="0884B315" w14:textId="5D6024C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1925074D">
        <w:rPr>
          <w:rFonts w:ascii="Arial" w:hAnsi="Arial" w:cs="Arial"/>
        </w:rPr>
        <w:t>Reduction in repeat homelessness</w:t>
      </w:r>
    </w:p>
    <w:p w:rsidR="74416B1B" w:rsidP="00BD2ACA" w:rsidRDefault="74416B1B" w14:paraId="7853BD9F" w14:textId="24726A8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1925074D">
        <w:rPr>
          <w:rFonts w:ascii="Arial" w:hAnsi="Arial" w:cs="Arial"/>
        </w:rPr>
        <w:t>Positive resolution rate for homelessness prevention cases</w:t>
      </w:r>
    </w:p>
    <w:p w:rsidR="19D2D141" w:rsidP="00BD2ACA" w:rsidRDefault="19D2D141" w14:paraId="6665AC2D" w14:textId="4284A0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1925074D">
        <w:rPr>
          <w:rFonts w:ascii="Arial" w:hAnsi="Arial" w:cs="Arial"/>
        </w:rPr>
        <w:t>No evictions from supported accommodation projects</w:t>
      </w:r>
    </w:p>
    <w:p w:rsidR="0F3259D6" w:rsidP="00BD2ACA" w:rsidRDefault="0F3259D6" w14:paraId="56E23312" w14:textId="02BBC93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1925074D">
        <w:rPr>
          <w:rFonts w:ascii="Arial" w:hAnsi="Arial" w:cs="Arial"/>
        </w:rPr>
        <w:t>Continuity of support</w:t>
      </w:r>
      <w:r w:rsidRPr="1925074D" w:rsidR="6327E366">
        <w:rPr>
          <w:rFonts w:ascii="Arial" w:hAnsi="Arial" w:cs="Arial"/>
        </w:rPr>
        <w:t xml:space="preserve"> for people</w:t>
      </w:r>
      <w:r w:rsidRPr="1925074D" w:rsidR="00BF7E72">
        <w:rPr>
          <w:rFonts w:ascii="Arial" w:hAnsi="Arial" w:cs="Arial"/>
        </w:rPr>
        <w:t xml:space="preserve"> in </w:t>
      </w:r>
      <w:r w:rsidRPr="1925074D" w:rsidR="26CAD260">
        <w:rPr>
          <w:rFonts w:ascii="Arial" w:hAnsi="Arial" w:cs="Arial"/>
        </w:rPr>
        <w:t xml:space="preserve">their </w:t>
      </w:r>
      <w:r w:rsidRPr="1925074D" w:rsidR="00BF7E72">
        <w:rPr>
          <w:rFonts w:ascii="Arial" w:hAnsi="Arial" w:cs="Arial"/>
        </w:rPr>
        <w:t xml:space="preserve">own accommodation </w:t>
      </w:r>
      <w:r w:rsidRPr="1925074D" w:rsidR="7A32767F">
        <w:rPr>
          <w:rFonts w:ascii="Arial" w:hAnsi="Arial" w:cs="Arial"/>
        </w:rPr>
        <w:t xml:space="preserve">to ensure </w:t>
      </w:r>
      <w:r w:rsidRPr="1925074D" w:rsidR="453F6F3D">
        <w:rPr>
          <w:rFonts w:ascii="Arial" w:hAnsi="Arial" w:cs="Arial"/>
        </w:rPr>
        <w:t>long term sta</w:t>
      </w:r>
      <w:r w:rsidRPr="1925074D" w:rsidR="72FC7756">
        <w:rPr>
          <w:rFonts w:ascii="Arial" w:hAnsi="Arial" w:cs="Arial"/>
        </w:rPr>
        <w:t>bility and independence</w:t>
      </w:r>
      <w:r w:rsidR="00BD2ACA">
        <w:rPr>
          <w:rFonts w:ascii="Arial" w:hAnsi="Arial" w:cs="Arial"/>
        </w:rPr>
        <w:t>.</w:t>
      </w:r>
    </w:p>
    <w:p w:rsidR="00BD2ACA" w:rsidP="00BD2ACA" w:rsidRDefault="00BD2ACA" w14:paraId="187A852C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8E1E10" w:rsidP="00BD2ACA" w:rsidRDefault="008E1E10" w14:paraId="0DCF027C" w14:textId="250651DF">
      <w:pPr>
        <w:pStyle w:val="Heading2"/>
      </w:pPr>
      <w:bookmarkStart w:name="_Toc215571031" w:id="13"/>
      <w:r>
        <w:t xml:space="preserve">Customer </w:t>
      </w:r>
      <w:r w:rsidR="00BD2ACA">
        <w:t>s</w:t>
      </w:r>
      <w:r>
        <w:t>atisfaction</w:t>
      </w:r>
      <w:bookmarkEnd w:id="13"/>
    </w:p>
    <w:p w:rsidR="00BD2ACA" w:rsidP="00BD2ACA" w:rsidRDefault="00BD2ACA" w14:paraId="36838295" w14:textId="77777777">
      <w:pPr>
        <w:spacing w:after="0" w:line="240" w:lineRule="auto"/>
        <w:rPr>
          <w:rFonts w:ascii="Arial" w:hAnsi="Arial" w:cs="Arial"/>
        </w:rPr>
      </w:pPr>
    </w:p>
    <w:p w:rsidR="008E1E10" w:rsidP="00BD2ACA" w:rsidRDefault="008E1E10" w14:paraId="599EFB1A" w14:textId="2F53A2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Customer feedback will be gathered from individuals accessing the service to support CCBC’s commitment to delivering a service that meets the needs of customers and continuous service improvements. Success will be measured by:</w:t>
      </w:r>
    </w:p>
    <w:p w:rsidR="00BD2ACA" w:rsidP="00BD2ACA" w:rsidRDefault="00BD2ACA" w14:paraId="10419985" w14:textId="77777777">
      <w:pPr>
        <w:spacing w:after="0" w:line="240" w:lineRule="auto"/>
        <w:rPr>
          <w:rFonts w:ascii="Arial" w:hAnsi="Arial" w:cs="Arial"/>
        </w:rPr>
      </w:pPr>
    </w:p>
    <w:p w:rsidR="008E1E10" w:rsidP="00BD2ACA" w:rsidRDefault="008E1E10" w14:paraId="43140D2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quality and accessibility of support provided</w:t>
      </w:r>
    </w:p>
    <w:p w:rsidR="008E1E10" w:rsidP="00BD2ACA" w:rsidRDefault="008E1E10" w14:paraId="734982E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impact of interventions on housing outcomes</w:t>
      </w:r>
    </w:p>
    <w:p w:rsidR="008E1E10" w:rsidP="00BD2ACA" w:rsidRDefault="008E1E10" w14:paraId="662FF424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Concerns raised about the service</w:t>
      </w:r>
    </w:p>
    <w:p w:rsidR="008E1E10" w:rsidP="00BD2ACA" w:rsidRDefault="008E1E10" w14:paraId="58B5FEA4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1925074D">
        <w:rPr>
          <w:rFonts w:ascii="Arial" w:hAnsi="Arial" w:cs="Arial"/>
        </w:rPr>
        <w:t>Service improvements actions</w:t>
      </w:r>
    </w:p>
    <w:p w:rsidR="1A9551DA" w:rsidP="00BD2ACA" w:rsidRDefault="1A9551DA" w14:paraId="24BF7498" w14:textId="4303C5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2E175738">
        <w:rPr>
          <w:rFonts w:ascii="Arial" w:hAnsi="Arial" w:cs="Arial"/>
        </w:rPr>
        <w:t>Effective homelessness interventions</w:t>
      </w:r>
      <w:r w:rsidR="00BD2ACA">
        <w:rPr>
          <w:rFonts w:ascii="Arial" w:hAnsi="Arial" w:cs="Arial"/>
        </w:rPr>
        <w:t>.</w:t>
      </w:r>
      <w:r w:rsidRPr="2E175738">
        <w:rPr>
          <w:rFonts w:ascii="Arial" w:hAnsi="Arial" w:cs="Arial"/>
        </w:rPr>
        <w:t xml:space="preserve"> </w:t>
      </w:r>
    </w:p>
    <w:p w:rsidR="00BD2ACA" w:rsidP="00BD2ACA" w:rsidRDefault="00BD2ACA" w14:paraId="29A375E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A6165D" w:rsidR="004206F4" w:rsidP="00BD2ACA" w:rsidRDefault="00947B2D" w14:paraId="09A8BE35" w14:textId="48BFCA54">
      <w:pPr>
        <w:pStyle w:val="Heading2"/>
      </w:pPr>
      <w:bookmarkStart w:name="_Toc215571032" w:id="14"/>
      <w:r>
        <w:t xml:space="preserve">Partnership </w:t>
      </w:r>
      <w:r w:rsidR="00BD2ACA">
        <w:t>w</w:t>
      </w:r>
      <w:r>
        <w:t>orking</w:t>
      </w:r>
      <w:bookmarkEnd w:id="14"/>
    </w:p>
    <w:p w:rsidR="00BD2ACA" w:rsidP="00BD2ACA" w:rsidRDefault="00BD2ACA" w14:paraId="4117C05E" w14:textId="77777777">
      <w:pPr>
        <w:spacing w:after="0" w:line="240" w:lineRule="auto"/>
        <w:rPr>
          <w:rFonts w:ascii="Arial" w:hAnsi="Arial" w:cs="Arial"/>
        </w:rPr>
      </w:pPr>
    </w:p>
    <w:p w:rsidR="004206F4" w:rsidP="00BD2ACA" w:rsidRDefault="00947B2D" w14:paraId="2995A3B0" w14:textId="7EEF65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Effective collaboration is central to the Plan’s delivery</w:t>
      </w:r>
      <w:r w:rsidR="004206F4">
        <w:rPr>
          <w:rFonts w:ascii="Arial" w:hAnsi="Arial" w:cs="Arial"/>
        </w:rPr>
        <w:t>.</w:t>
      </w:r>
      <w:r w:rsidRPr="00777CAC" w:rsidR="004206F4">
        <w:rPr>
          <w:rFonts w:ascii="Arial" w:hAnsi="Arial" w:cs="Arial"/>
        </w:rPr>
        <w:t xml:space="preserve"> </w:t>
      </w:r>
      <w:r w:rsidR="004206F4">
        <w:rPr>
          <w:rFonts w:ascii="Arial" w:hAnsi="Arial" w:cs="Arial"/>
        </w:rPr>
        <w:t>Success will be measured by:</w:t>
      </w:r>
    </w:p>
    <w:p w:rsidR="00BD2ACA" w:rsidP="00BD2ACA" w:rsidRDefault="00BD2ACA" w14:paraId="57F24D8C" w14:textId="77777777">
      <w:pPr>
        <w:spacing w:after="0" w:line="240" w:lineRule="auto"/>
        <w:rPr>
          <w:rFonts w:ascii="Arial" w:hAnsi="Arial" w:cs="Arial"/>
        </w:rPr>
      </w:pPr>
    </w:p>
    <w:p w:rsidR="004206F4" w:rsidP="00BD2ACA" w:rsidRDefault="004206F4" w14:paraId="6CB565C2" w14:textId="7A68426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number of </w:t>
      </w:r>
      <w:r w:rsidR="00140F02">
        <w:rPr>
          <w:rFonts w:ascii="Arial" w:hAnsi="Arial" w:cs="Arial"/>
        </w:rPr>
        <w:t>active partnerships</w:t>
      </w:r>
    </w:p>
    <w:p w:rsidR="004206F4" w:rsidP="00BD2ACA" w:rsidRDefault="004206F4" w14:paraId="59973644" w14:textId="4323A34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impact of the </w:t>
      </w:r>
      <w:r w:rsidR="00140F02">
        <w:rPr>
          <w:rFonts w:ascii="Arial" w:hAnsi="Arial" w:cs="Arial"/>
        </w:rPr>
        <w:t>partnership working</w:t>
      </w:r>
    </w:p>
    <w:p w:rsidRPr="005D47AE" w:rsidR="004206F4" w:rsidP="00BD2ACA" w:rsidRDefault="004206F4" w14:paraId="1909B98E" w14:textId="3704823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</w:rPr>
      </w:pPr>
      <w:r w:rsidRPr="00A327D7">
        <w:rPr>
          <w:rFonts w:ascii="Arial" w:hAnsi="Arial" w:cs="Arial"/>
        </w:rPr>
        <w:t>Any lessons learnt</w:t>
      </w:r>
      <w:r w:rsidR="00BD2ACA">
        <w:rPr>
          <w:rFonts w:ascii="Arial" w:hAnsi="Arial" w:cs="Arial"/>
        </w:rPr>
        <w:t>.</w:t>
      </w:r>
    </w:p>
    <w:p w:rsidRPr="00917B47" w:rsidR="005D47AE" w:rsidP="00BD2ACA" w:rsidRDefault="005D47AE" w14:paraId="38264F6A" w14:textId="77777777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:rsidR="001068DF" w:rsidP="00BD2ACA" w:rsidRDefault="007B0B66" w14:paraId="22BE0097" w14:textId="10837C2B">
      <w:pPr>
        <w:pStyle w:val="Heading1"/>
      </w:pPr>
      <w:bookmarkStart w:name="_Toc215571033" w:id="15"/>
      <w:r>
        <w:t>5</w:t>
      </w:r>
      <w:r w:rsidR="00C7364E">
        <w:tab/>
      </w:r>
      <w:r w:rsidR="00C7364E">
        <w:t>Implementation and Governance</w:t>
      </w:r>
      <w:bookmarkEnd w:id="15"/>
    </w:p>
    <w:p w:rsidR="00BD2ACA" w:rsidP="00BD2ACA" w:rsidRDefault="00BD2ACA" w14:paraId="5FBED529" w14:textId="77777777">
      <w:pPr>
        <w:spacing w:after="0" w:line="240" w:lineRule="auto"/>
        <w:rPr>
          <w:rFonts w:ascii="Arial" w:hAnsi="Arial" w:cs="Arial"/>
        </w:rPr>
      </w:pPr>
    </w:p>
    <w:p w:rsidR="00957143" w:rsidP="00BD2ACA" w:rsidRDefault="00957143" w14:paraId="5EEAE2F4" w14:textId="0595D2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successful delivery of the </w:t>
      </w:r>
      <w:r w:rsidRPr="00F06660" w:rsidR="002D7FCE">
        <w:rPr>
          <w:rFonts w:ascii="Arial" w:hAnsi="Arial" w:cs="Arial"/>
        </w:rPr>
        <w:t>Housing Support Programme Delivery</w:t>
      </w:r>
      <w:r w:rsidRPr="006C27B4" w:rsidR="002D7FCE">
        <w:rPr>
          <w:rFonts w:ascii="Arial" w:hAnsi="Arial" w:cs="Arial"/>
          <w:b/>
          <w:bCs/>
        </w:rPr>
        <w:t xml:space="preserve"> </w:t>
      </w:r>
      <w:r w:rsidR="002D7FCE">
        <w:rPr>
          <w:rFonts w:ascii="Arial" w:hAnsi="Arial" w:cs="Arial"/>
        </w:rPr>
        <w:t xml:space="preserve">Plan </w:t>
      </w:r>
      <w:r>
        <w:rPr>
          <w:rFonts w:ascii="Arial" w:hAnsi="Arial" w:cs="Arial"/>
        </w:rPr>
        <w:t xml:space="preserve">will be supported by the </w:t>
      </w:r>
      <w:r w:rsidR="002D7FCE">
        <w:rPr>
          <w:rFonts w:ascii="Arial" w:hAnsi="Arial" w:cs="Arial"/>
        </w:rPr>
        <w:t>Housing Support Grant</w:t>
      </w:r>
      <w:r>
        <w:rPr>
          <w:rFonts w:ascii="Arial" w:hAnsi="Arial" w:cs="Arial"/>
        </w:rPr>
        <w:t xml:space="preserve"> Working Group, a partnership that brings together </w:t>
      </w:r>
      <w:r w:rsidR="002948F8">
        <w:rPr>
          <w:rFonts w:ascii="Arial" w:hAnsi="Arial" w:cs="Arial"/>
        </w:rPr>
        <w:t xml:space="preserve">people with lived experience and </w:t>
      </w:r>
      <w:r w:rsidR="005D532D">
        <w:rPr>
          <w:rFonts w:ascii="Arial" w:hAnsi="Arial" w:cs="Arial"/>
        </w:rPr>
        <w:t>key partners involved in</w:t>
      </w:r>
      <w:r>
        <w:rPr>
          <w:rFonts w:ascii="Arial" w:hAnsi="Arial" w:cs="Arial"/>
        </w:rPr>
        <w:t xml:space="preserve"> </w:t>
      </w:r>
      <w:r w:rsidR="00724735">
        <w:rPr>
          <w:rFonts w:ascii="Arial" w:hAnsi="Arial" w:cs="Arial"/>
        </w:rPr>
        <w:t>housing related support services</w:t>
      </w:r>
      <w:r>
        <w:rPr>
          <w:rFonts w:ascii="Arial" w:hAnsi="Arial" w:cs="Arial"/>
        </w:rPr>
        <w:t xml:space="preserve">. The group will meet quarterly to coordinate activity, share best practice and monitor progress across the </w:t>
      </w:r>
      <w:r w:rsidR="00072251">
        <w:rPr>
          <w:rFonts w:ascii="Arial" w:hAnsi="Arial" w:cs="Arial"/>
        </w:rPr>
        <w:t>three</w:t>
      </w:r>
      <w:r w:rsidR="00E34491">
        <w:rPr>
          <w:rFonts w:ascii="Arial" w:hAnsi="Arial" w:cs="Arial"/>
        </w:rPr>
        <w:t xml:space="preserve"> focus areas</w:t>
      </w:r>
      <w:r>
        <w:rPr>
          <w:rFonts w:ascii="Arial" w:hAnsi="Arial" w:cs="Arial"/>
        </w:rPr>
        <w:t>.</w:t>
      </w:r>
    </w:p>
    <w:p w:rsidR="00BD2ACA" w:rsidP="00BD2ACA" w:rsidRDefault="00BD2ACA" w14:paraId="5270E0F4" w14:textId="77777777">
      <w:pPr>
        <w:spacing w:after="0" w:line="240" w:lineRule="auto"/>
        <w:rPr>
          <w:rFonts w:ascii="Arial" w:hAnsi="Arial" w:cs="Arial"/>
        </w:rPr>
      </w:pPr>
    </w:p>
    <w:p w:rsidR="00957143" w:rsidP="00BD2ACA" w:rsidRDefault="00957143" w14:paraId="7411902A" w14:textId="683EF6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ensure transparency and accountability, progress against the Plan will be reported annually to the Housing and Homelessness Board. This will include updates on:</w:t>
      </w:r>
    </w:p>
    <w:p w:rsidR="00BD2ACA" w:rsidP="00BD2ACA" w:rsidRDefault="00BD2ACA" w14:paraId="005EB2EA" w14:textId="77777777">
      <w:pPr>
        <w:spacing w:after="0" w:line="240" w:lineRule="auto"/>
        <w:rPr>
          <w:rFonts w:ascii="Arial" w:hAnsi="Arial" w:cs="Arial"/>
        </w:rPr>
      </w:pPr>
    </w:p>
    <w:p w:rsidRPr="00BD2ACA" w:rsidR="008B4B06" w:rsidP="00BD2ACA" w:rsidRDefault="00957143" w14:paraId="581A36D3" w14:textId="4C0392E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Welsh Government key performance indicators</w:t>
      </w:r>
    </w:p>
    <w:p w:rsidRPr="00BD2ACA" w:rsidR="00A60450" w:rsidP="00BD2ACA" w:rsidRDefault="00957143" w14:paraId="782EE825" w14:textId="220E1E3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05A6F">
        <w:rPr>
          <w:rFonts w:ascii="Arial" w:hAnsi="Arial" w:cs="Arial"/>
        </w:rPr>
        <w:t xml:space="preserve">Outcomes achieved within each </w:t>
      </w:r>
      <w:r w:rsidRPr="00705A6F" w:rsidR="00E34491">
        <w:rPr>
          <w:rFonts w:ascii="Arial" w:hAnsi="Arial" w:cs="Arial"/>
        </w:rPr>
        <w:t>focus area</w:t>
      </w:r>
      <w:r w:rsidRPr="00705A6F">
        <w:rPr>
          <w:rFonts w:ascii="Arial" w:hAnsi="Arial" w:cs="Arial"/>
        </w:rPr>
        <w:t xml:space="preserve"> including partnership activity </w:t>
      </w:r>
    </w:p>
    <w:p w:rsidR="00957143" w:rsidP="00BD2ACA" w:rsidRDefault="00957143" w14:paraId="061BE651" w14:textId="70F7794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Customer satisfaction and feedback</w:t>
      </w:r>
      <w:r w:rsidR="00BD2ACA">
        <w:rPr>
          <w:rFonts w:ascii="Arial" w:hAnsi="Arial" w:cs="Arial"/>
        </w:rPr>
        <w:t>.</w:t>
      </w:r>
    </w:p>
    <w:p w:rsidR="00BD2ACA" w:rsidP="00BD2ACA" w:rsidRDefault="00BD2ACA" w14:paraId="12D42E0E" w14:textId="77777777">
      <w:pPr>
        <w:spacing w:after="0" w:line="240" w:lineRule="auto"/>
        <w:rPr>
          <w:rFonts w:ascii="Arial" w:hAnsi="Arial" w:cs="Arial"/>
        </w:rPr>
      </w:pPr>
    </w:p>
    <w:p w:rsidRPr="00BD2ACA" w:rsidR="00C66419" w:rsidP="00BD2ACA" w:rsidRDefault="00957143" w14:paraId="48A6DC7C" w14:textId="74CD1304">
      <w:pPr>
        <w:spacing w:after="0" w:line="240" w:lineRule="auto"/>
        <w:rPr>
          <w:rFonts w:ascii="Arial" w:hAnsi="Arial" w:cs="Arial"/>
        </w:rPr>
        <w:sectPr w:rsidRPr="00BD2ACA" w:rsidR="00C66419" w:rsidSect="00EE5EC7">
          <w:footerReference w:type="default" r:id="rId9"/>
          <w:pgSz w:w="11906" w:h="16838" w:orient="portrait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</w:rPr>
        <w:t>This governance structure ensures that the Plan is aligned with strategic priorities, is delivering measurable outcomes and value for money.</w:t>
      </w:r>
    </w:p>
    <w:p w:rsidR="00C66419" w:rsidP="00BD2ACA" w:rsidRDefault="00BD2ACA" w14:paraId="44656EF7" w14:textId="7062493B">
      <w:pPr>
        <w:pStyle w:val="Heading1"/>
      </w:pPr>
      <w:bookmarkStart w:name="_Toc215571034" w:id="16"/>
      <w:r>
        <w:t xml:space="preserve">Appendix 1 - </w:t>
      </w:r>
      <w:r w:rsidR="00C66419">
        <w:t>Action Plan</w:t>
      </w:r>
      <w:bookmarkEnd w:id="16"/>
    </w:p>
    <w:p w:rsidR="00BD2ACA" w:rsidP="00BD2ACA" w:rsidRDefault="00BD2ACA" w14:paraId="3652B62E" w14:textId="77777777">
      <w:pPr>
        <w:pStyle w:val="Heading1"/>
      </w:pPr>
    </w:p>
    <w:tbl>
      <w:tblPr>
        <w:tblStyle w:val="TableGrid"/>
        <w:tblW w:w="14024" w:type="dxa"/>
        <w:tblBorders>
          <w:top w:val="single" w:color="1BAF90" w:sz="8" w:space="0"/>
          <w:left w:val="single" w:color="1BAF90" w:sz="8" w:space="0"/>
          <w:bottom w:val="single" w:color="1BAF90" w:sz="8" w:space="0"/>
          <w:right w:val="single" w:color="1BAF90" w:sz="8" w:space="0"/>
          <w:insideH w:val="single" w:color="1BAF90" w:sz="8" w:space="0"/>
          <w:insideV w:val="single" w:color="1BAF90" w:sz="8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41"/>
        <w:gridCol w:w="3307"/>
        <w:gridCol w:w="3307"/>
        <w:gridCol w:w="3308"/>
        <w:gridCol w:w="1630"/>
        <w:gridCol w:w="1631"/>
      </w:tblGrid>
      <w:tr w:rsidR="00BD2ACA" w:rsidTr="000C111C" w14:paraId="279E1647" w14:textId="77777777">
        <w:trPr>
          <w:cantSplit/>
          <w:trHeight w:val="300"/>
        </w:trPr>
        <w:tc>
          <w:tcPr>
            <w:tcW w:w="841" w:type="dxa"/>
            <w:shd w:val="clear" w:color="auto" w:fill="1BAF90"/>
            <w:tcMar>
              <w:left w:w="108" w:type="dxa"/>
              <w:right w:w="108" w:type="dxa"/>
            </w:tcMar>
          </w:tcPr>
          <w:p w:rsidRPr="005F793D" w:rsidR="00BD2ACA" w:rsidP="000C111C" w:rsidRDefault="00BD2ACA" w14:paraId="1E23D6DC" w14:textId="77777777">
            <w:pPr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5F793D">
              <w:rPr>
                <w:rFonts w:ascii="Arial" w:hAnsi="Arial" w:eastAsia="Arial" w:cs="Arial"/>
                <w:b/>
                <w:bCs/>
                <w:color w:val="FFFFFF" w:themeColor="background1"/>
              </w:rPr>
              <w:t>Area</w:t>
            </w:r>
          </w:p>
        </w:tc>
        <w:tc>
          <w:tcPr>
            <w:tcW w:w="3307" w:type="dxa"/>
            <w:shd w:val="clear" w:color="auto" w:fill="1BAF90"/>
            <w:tcMar>
              <w:left w:w="108" w:type="dxa"/>
              <w:right w:w="108" w:type="dxa"/>
            </w:tcMar>
          </w:tcPr>
          <w:p w:rsidRPr="005F793D" w:rsidR="00BD2ACA" w:rsidP="000C111C" w:rsidRDefault="00BD2ACA" w14:paraId="5FF668B9" w14:textId="77777777">
            <w:pPr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5F793D">
              <w:rPr>
                <w:rFonts w:ascii="Arial" w:hAnsi="Arial" w:eastAsia="Arial" w:cs="Arial"/>
                <w:b/>
                <w:bCs/>
                <w:color w:val="FFFFFF" w:themeColor="background1"/>
              </w:rPr>
              <w:t>Action</w:t>
            </w:r>
          </w:p>
        </w:tc>
        <w:tc>
          <w:tcPr>
            <w:tcW w:w="3307" w:type="dxa"/>
            <w:shd w:val="clear" w:color="auto" w:fill="1BAF90"/>
            <w:tcMar>
              <w:left w:w="108" w:type="dxa"/>
              <w:right w:w="108" w:type="dxa"/>
            </w:tcMar>
          </w:tcPr>
          <w:p w:rsidRPr="005F793D" w:rsidR="00BD2ACA" w:rsidP="000C111C" w:rsidRDefault="00BD2ACA" w14:paraId="0B1C60E5" w14:textId="77777777">
            <w:pPr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5F793D">
              <w:rPr>
                <w:rFonts w:ascii="Arial" w:hAnsi="Arial" w:eastAsia="Arial" w:cs="Arial"/>
                <w:b/>
                <w:bCs/>
                <w:color w:val="FFFFFF" w:themeColor="background1"/>
              </w:rPr>
              <w:t xml:space="preserve">Output </w:t>
            </w:r>
          </w:p>
        </w:tc>
        <w:tc>
          <w:tcPr>
            <w:tcW w:w="3308" w:type="dxa"/>
            <w:shd w:val="clear" w:color="auto" w:fill="1BAF90"/>
            <w:tcMar>
              <w:left w:w="108" w:type="dxa"/>
              <w:right w:w="108" w:type="dxa"/>
            </w:tcMar>
          </w:tcPr>
          <w:p w:rsidRPr="005F793D" w:rsidR="00BD2ACA" w:rsidP="000C111C" w:rsidRDefault="00BD2ACA" w14:paraId="5ABDE2F1" w14:textId="77777777">
            <w:pPr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5F793D">
              <w:rPr>
                <w:rFonts w:ascii="Arial" w:hAnsi="Arial" w:eastAsia="Arial" w:cs="Arial"/>
                <w:b/>
                <w:bCs/>
                <w:color w:val="FFFFFF" w:themeColor="background1"/>
              </w:rPr>
              <w:t xml:space="preserve">Outcomes </w:t>
            </w:r>
          </w:p>
        </w:tc>
        <w:tc>
          <w:tcPr>
            <w:tcW w:w="1630" w:type="dxa"/>
            <w:shd w:val="clear" w:color="auto" w:fill="1BAF90"/>
            <w:tcMar>
              <w:left w:w="108" w:type="dxa"/>
              <w:right w:w="108" w:type="dxa"/>
            </w:tcMar>
          </w:tcPr>
          <w:p w:rsidRPr="005F793D" w:rsidR="00BD2ACA" w:rsidP="000C111C" w:rsidRDefault="00BD2ACA" w14:paraId="41B828C5" w14:textId="77777777">
            <w:pPr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5F793D">
              <w:rPr>
                <w:rFonts w:ascii="Arial" w:hAnsi="Arial" w:eastAsia="Arial" w:cs="Arial"/>
                <w:b/>
                <w:bCs/>
                <w:color w:val="FFFFFF" w:themeColor="background1"/>
              </w:rPr>
              <w:t>Responsible Officer</w:t>
            </w:r>
          </w:p>
        </w:tc>
        <w:tc>
          <w:tcPr>
            <w:tcW w:w="1631" w:type="dxa"/>
            <w:shd w:val="clear" w:color="auto" w:fill="1BAF90"/>
            <w:tcMar>
              <w:left w:w="108" w:type="dxa"/>
              <w:right w:w="108" w:type="dxa"/>
            </w:tcMar>
          </w:tcPr>
          <w:p w:rsidRPr="005F793D" w:rsidR="00BD2ACA" w:rsidP="000C111C" w:rsidRDefault="00BD2ACA" w14:paraId="5100D2A6" w14:textId="77777777">
            <w:pPr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5F793D">
              <w:rPr>
                <w:rFonts w:ascii="Arial" w:hAnsi="Arial" w:eastAsia="Arial" w:cs="Arial"/>
                <w:b/>
                <w:bCs/>
                <w:color w:val="FFFFFF" w:themeColor="background1"/>
              </w:rPr>
              <w:t>Timescale</w:t>
            </w:r>
          </w:p>
        </w:tc>
      </w:tr>
      <w:tr w:rsidR="00BD2ACA" w:rsidTr="000C111C" w14:paraId="7BC750D6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Pr="00932C25" w:rsidR="00BD2ACA" w:rsidP="00BD2ACA" w:rsidRDefault="00BD2ACA" w14:paraId="7CDE4638" w14:textId="28752D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32505F5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the Needs Assessment to identify priority areas and ensure HSG funded services are commissioned to meet identified gaps</w:t>
            </w:r>
          </w:p>
          <w:p w:rsidR="00BD2ACA" w:rsidP="00BD2ACA" w:rsidRDefault="00BD2ACA" w14:paraId="50657F97" w14:textId="77777777">
            <w:pPr>
              <w:rPr>
                <w:rFonts w:ascii="Arial" w:hAnsi="Arial" w:cs="Arial"/>
              </w:rPr>
            </w:pPr>
          </w:p>
          <w:p w:rsidRPr="00932C25" w:rsidR="00BD2ACA" w:rsidP="00BD2ACA" w:rsidRDefault="00BD2ACA" w14:paraId="7638C9A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Pr="00932C25" w:rsidR="00BD2ACA" w:rsidP="00BD2ACA" w:rsidRDefault="00BD2ACA" w14:paraId="7B9C05EB" w14:textId="60DCA3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Delivery plan in line with WG requirements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Pr="00932C25" w:rsidR="00BD2ACA" w:rsidP="00BD2ACA" w:rsidRDefault="00BD2ACA" w14:paraId="2B9BFFE2" w14:textId="0B7ABD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Grant is used to fund services that meet local needs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Pr="00932C25" w:rsidR="00BD2ACA" w:rsidP="00BD2ACA" w:rsidRDefault="00BD2ACA" w14:paraId="1AB45027" w14:textId="7EBB0B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Housing Support Grant Manager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Pr="00932C25" w:rsidR="00BD2ACA" w:rsidP="00BD2ACA" w:rsidRDefault="00BD2ACA" w14:paraId="1273B3D9" w14:textId="68A5CF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February 2026</w:t>
            </w:r>
          </w:p>
        </w:tc>
      </w:tr>
      <w:tr w:rsidR="00BD2ACA" w:rsidTr="000C111C" w14:paraId="405F439D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BD2ACA" w:rsidP="00BD2ACA" w:rsidRDefault="00BD2ACA" w14:paraId="4B9ADDD6" w14:textId="77777777">
            <w:pPr>
              <w:rPr>
                <w:rFonts w:ascii="Arial" w:hAnsi="Arial" w:cs="Arial"/>
              </w:rPr>
            </w:pP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0F3D2C0B" w14:textId="21B1A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Encourage providers to develop flexible services to adapt to the changing needs of individuals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38CF588B" w14:textId="37B47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specifications and contracts reflect flexibility and person-centred approaches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BD2ACA" w:rsidP="00BD2ACA" w:rsidRDefault="00BD2ACA" w14:paraId="0584AF55" w14:textId="2155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Services are responsive to changing needs and improve individual outcomes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="00BD2ACA" w:rsidP="00BD2ACA" w:rsidRDefault="00BD2ACA" w14:paraId="4E46F365" w14:textId="5D7F6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Support Grant Manager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BD2ACA" w:rsidP="00BD2ACA" w:rsidRDefault="00BD2ACA" w14:paraId="12F44748" w14:textId="7C41A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</w:t>
            </w:r>
          </w:p>
        </w:tc>
      </w:tr>
      <w:tr w:rsidR="00BD2ACA" w:rsidTr="000C111C" w14:paraId="62F45177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BD2ACA" w:rsidP="00BD2ACA" w:rsidRDefault="00BD2ACA" w14:paraId="0ADC21BA" w14:textId="77777777">
            <w:pPr>
              <w:rPr>
                <w:rFonts w:ascii="Arial" w:hAnsi="Arial" w:cs="Arial"/>
              </w:rPr>
            </w:pP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3A0692F8" w14:textId="51E61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 a Strategic Planning group with representatives from housing, health, social care and the third sector to oversee the delivery of the HSG programme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294108FD" w14:textId="04510A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Terms of reference and regular meetings scheduled 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BD2ACA" w:rsidP="00BD2ACA" w:rsidRDefault="00BD2ACA" w14:paraId="3F02A408" w14:textId="34087E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Improved collaboration, shared accountability and integrated service delivery 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="00BD2ACA" w:rsidP="00BD2ACA" w:rsidRDefault="00BD2ACA" w14:paraId="635BA3BE" w14:textId="44D9F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Support Grant Manager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BD2ACA" w:rsidP="00BD2ACA" w:rsidRDefault="00BD2ACA" w14:paraId="4DA58BE3" w14:textId="780252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2026</w:t>
            </w:r>
          </w:p>
        </w:tc>
      </w:tr>
      <w:tr w:rsidR="00BD2ACA" w:rsidTr="000C111C" w14:paraId="4E6F8041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BD2ACA" w:rsidP="00BD2ACA" w:rsidRDefault="00BD2ACA" w14:paraId="53EDE623" w14:textId="77777777">
            <w:pPr>
              <w:rPr>
                <w:rFonts w:ascii="Arial" w:hAnsi="Arial" w:cs="Arial"/>
              </w:rPr>
            </w:pP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68A29D1C" w14:textId="26981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the Welsh Government outcomes framework to monitor success of the HSG programme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4172378E" w14:textId="33F68C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performance reports aligned to WG framework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BD2ACA" w:rsidP="00BD2ACA" w:rsidRDefault="00BD2ACA" w14:paraId="55CA0A24" w14:textId="14823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impact and continuous service improvements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="00BD2ACA" w:rsidP="00BD2ACA" w:rsidRDefault="00BD2ACA" w14:paraId="42F3F2D3" w14:textId="62D9541C">
            <w:pPr>
              <w:rPr>
                <w:rFonts w:ascii="Arial" w:hAnsi="Arial" w:cs="Arial"/>
              </w:rPr>
            </w:pPr>
            <w:r w:rsidRPr="00B747B4">
              <w:rPr>
                <w:rFonts w:ascii="Arial" w:hAnsi="Arial" w:cs="Arial"/>
              </w:rPr>
              <w:t>Housing Support Grant Manager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BD2ACA" w:rsidP="00BD2ACA" w:rsidRDefault="00BD2ACA" w14:paraId="23B76A23" w14:textId="467C96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Bi-annually</w:t>
            </w:r>
          </w:p>
        </w:tc>
      </w:tr>
      <w:tr w:rsidR="00BD2ACA" w:rsidTr="000C111C" w14:paraId="6856ED7E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BD2ACA" w:rsidP="00BD2ACA" w:rsidRDefault="00BD2ACA" w14:paraId="1E84123C" w14:textId="69E1E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4BBC5546" w14:textId="1A77D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 a review of current services and referral pathways across agencies, identify gaps and opportunities to strengthen partnerships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1320313A" w14:textId="03493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Mapping report of existing services and referral pathways with recommendations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BD2ACA" w:rsidP="00BD2ACA" w:rsidRDefault="00BD2ACA" w14:paraId="550D4CE5" w14:textId="2AEAAD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Improved coordination and reduced duplication of services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Pr="00B747B4" w:rsidR="00BD2ACA" w:rsidP="00BD2ACA" w:rsidRDefault="00BD2ACA" w14:paraId="7A4BCA53" w14:textId="0811377F">
            <w:pPr>
              <w:rPr>
                <w:rFonts w:ascii="Arial" w:hAnsi="Arial" w:cs="Arial"/>
              </w:rPr>
            </w:pPr>
            <w:r w:rsidRPr="00B747B4">
              <w:rPr>
                <w:rFonts w:ascii="Arial" w:hAnsi="Arial" w:cs="Arial"/>
              </w:rPr>
              <w:t>Housing Support Grant Manager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BD2ACA" w:rsidP="00BD2ACA" w:rsidRDefault="00BD2ACA" w14:paraId="489DC9E3" w14:textId="178AC6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2026</w:t>
            </w:r>
          </w:p>
        </w:tc>
      </w:tr>
      <w:tr w:rsidR="00BD2ACA" w:rsidTr="000C111C" w14:paraId="2C55C648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BD2ACA" w:rsidP="00BD2ACA" w:rsidRDefault="00BD2ACA" w14:paraId="2A752F9A" w14:textId="77777777">
            <w:pPr>
              <w:rPr>
                <w:rFonts w:ascii="Arial" w:hAnsi="Arial" w:cs="Arial"/>
              </w:rPr>
            </w:pP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71A4734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the Housing Support Grant Provider forum to share information on HSG service developments, priorities, prevention approaches and referral processes. </w:t>
            </w:r>
          </w:p>
          <w:p w:rsidR="00BD2ACA" w:rsidP="00BD2ACA" w:rsidRDefault="00BD2ACA" w14:paraId="4CE72A55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5B4FD9E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forums as an opportunity for partners to provide feedback and contribute to service improvements </w:t>
            </w:r>
          </w:p>
          <w:p w:rsidR="00BD2ACA" w:rsidP="00BD2ACA" w:rsidRDefault="00BD2ACA" w14:paraId="6CAFDF5D" w14:textId="77777777">
            <w:pPr>
              <w:rPr>
                <w:rFonts w:ascii="Arial" w:hAnsi="Arial" w:cs="Arial"/>
              </w:rPr>
            </w:pP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2167DA7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Forum minutes and shared resources</w:t>
            </w:r>
          </w:p>
          <w:p w:rsidR="00BD2ACA" w:rsidP="00BD2ACA" w:rsidRDefault="00BD2ACA" w14:paraId="28342B98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74793A6F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69C3BAD1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3218EA5F" w14:textId="14E2E5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reports and action plans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BD2ACA" w:rsidP="00BD2ACA" w:rsidRDefault="00BD2ACA" w14:paraId="5F9B948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awareness and alignment of services across providers</w:t>
            </w:r>
          </w:p>
          <w:p w:rsidR="00B57450" w:rsidP="00BD2ACA" w:rsidRDefault="00B57450" w14:paraId="1D406699" w14:textId="77777777">
            <w:pPr>
              <w:rPr>
                <w:rFonts w:ascii="Arial" w:hAnsi="Arial" w:cs="Arial"/>
              </w:rPr>
            </w:pPr>
          </w:p>
          <w:p w:rsidR="00B57450" w:rsidP="00BD2ACA" w:rsidRDefault="00B57450" w14:paraId="5D8B26B5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00E41475" w14:textId="4AACA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Services are continuously improved based on stakeholder input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Pr="00B747B4" w:rsidR="00BD2ACA" w:rsidP="00BD2ACA" w:rsidRDefault="00BD2ACA" w14:paraId="48F18D18" w14:textId="430E057F">
            <w:pPr>
              <w:rPr>
                <w:rFonts w:ascii="Arial" w:hAnsi="Arial" w:cs="Arial"/>
              </w:rPr>
            </w:pPr>
            <w:r w:rsidRPr="00B747B4">
              <w:rPr>
                <w:rFonts w:ascii="Arial" w:hAnsi="Arial" w:cs="Arial"/>
              </w:rPr>
              <w:t>Housing Support Grant Manager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BD2ACA" w:rsidP="00BD2ACA" w:rsidRDefault="00BD2ACA" w14:paraId="75BE9B39" w14:textId="0BF5A9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</w:t>
            </w:r>
          </w:p>
        </w:tc>
      </w:tr>
      <w:tr w:rsidR="00BD2ACA" w:rsidTr="000C111C" w14:paraId="607F47EA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BD2ACA" w:rsidP="00BD2ACA" w:rsidRDefault="00BD2ACA" w14:paraId="5EB92F09" w14:textId="77777777">
            <w:pPr>
              <w:rPr>
                <w:rFonts w:ascii="Arial" w:hAnsi="Arial" w:cs="Arial"/>
              </w:rPr>
            </w:pP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014E4F1B" w14:textId="0DF6C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Facilitate workshops where key stakeholders can codesign new or improve existing services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343D6253" w14:textId="4FC75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 outputs including service design proposals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BD2ACA" w:rsidP="00BD2ACA" w:rsidRDefault="00BD2ACA" w14:paraId="31F1E7BD" w14:textId="2CE21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Services better reflect local needs and stakeholder expertise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Pr="00B747B4" w:rsidR="00BD2ACA" w:rsidP="00BD2ACA" w:rsidRDefault="00BD2ACA" w14:paraId="28541DFB" w14:textId="797E1900">
            <w:pPr>
              <w:rPr>
                <w:rFonts w:ascii="Arial" w:hAnsi="Arial" w:cs="Arial"/>
              </w:rPr>
            </w:pPr>
            <w:r w:rsidRPr="00B747B4">
              <w:rPr>
                <w:rFonts w:ascii="Arial" w:hAnsi="Arial" w:cs="Arial"/>
              </w:rPr>
              <w:t>Housing Support Grant Manager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BD2ACA" w:rsidP="00BD2ACA" w:rsidRDefault="00BD2ACA" w14:paraId="3E0EFFFC" w14:textId="75921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BD2ACA" w:rsidTr="000C111C" w14:paraId="13DA5892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BD2ACA" w:rsidP="00BD2ACA" w:rsidRDefault="00BD2ACA" w14:paraId="4D8D3DAA" w14:textId="3A84A7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0E2006D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Establish a lived experience advisory panel to contribute to </w:t>
            </w:r>
            <w:r w:rsidRPr="004E50EC">
              <w:rPr>
                <w:rFonts w:ascii="Arial" w:hAnsi="Arial" w:cs="Arial"/>
              </w:rPr>
              <w:t>the design, development and evaluation of services</w:t>
            </w:r>
          </w:p>
          <w:p w:rsidR="00BD2ACA" w:rsidP="00BD2ACA" w:rsidRDefault="00BD2ACA" w14:paraId="7DB210EE" w14:textId="77777777">
            <w:pPr>
              <w:rPr>
                <w:rFonts w:ascii="Arial" w:hAnsi="Arial" w:cs="Arial"/>
                <w:i/>
                <w:iCs/>
              </w:rPr>
            </w:pPr>
          </w:p>
          <w:p w:rsidR="00BD2ACA" w:rsidP="00BD2ACA" w:rsidRDefault="00BD2ACA" w14:paraId="479B5715" w14:textId="77777777">
            <w:pPr>
              <w:rPr>
                <w:rFonts w:ascii="Arial" w:hAnsi="Arial" w:cs="Arial"/>
                <w:i/>
                <w:iCs/>
              </w:rPr>
            </w:pPr>
          </w:p>
          <w:p w:rsidR="00BD2ACA" w:rsidP="00BD2ACA" w:rsidRDefault="00BD2ACA" w14:paraId="2D688CD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Involve the panel in commissioning processes and service reviews</w:t>
            </w:r>
          </w:p>
          <w:p w:rsidR="00BD2ACA" w:rsidP="00BD2ACA" w:rsidRDefault="00BD2ACA" w14:paraId="1EEF96CE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0A8CFB0B" w14:textId="77777777">
            <w:pPr>
              <w:rPr>
                <w:rFonts w:ascii="Arial" w:hAnsi="Arial" w:cs="Arial"/>
              </w:rPr>
            </w:pPr>
          </w:p>
          <w:p w:rsidRPr="0032711E" w:rsidR="00BD2ACA" w:rsidP="00BD2ACA" w:rsidRDefault="00BD2ACA" w14:paraId="5D87958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training and support to panel members to enable meaningful participation</w:t>
            </w:r>
          </w:p>
          <w:p w:rsidR="00BD2ACA" w:rsidP="00BD2ACA" w:rsidRDefault="00BD2ACA" w14:paraId="3E838E48" w14:textId="77777777">
            <w:pPr>
              <w:rPr>
                <w:rFonts w:ascii="Arial" w:hAnsi="Arial" w:cs="Arial"/>
              </w:rPr>
            </w:pP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BD2ACA" w:rsidP="00BD2ACA" w:rsidRDefault="00BD2ACA" w14:paraId="357F852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Terms of reference, meeting schedule and feedback reports from the panel</w:t>
            </w:r>
          </w:p>
          <w:p w:rsidR="00BD2ACA" w:rsidP="00BD2ACA" w:rsidRDefault="00BD2ACA" w14:paraId="782301DA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720AF13E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28D5CAD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Co-produced commissioning documents and review findings</w:t>
            </w:r>
          </w:p>
          <w:p w:rsidR="00BD2ACA" w:rsidP="00BD2ACA" w:rsidRDefault="00BD2ACA" w14:paraId="2CD36290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57F62CBB" w14:textId="4478FA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material and attendance records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BD2ACA" w:rsidP="00BD2ACA" w:rsidRDefault="00BD2ACA" w14:paraId="7032493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Services are shaped to meet the needs of people accessing the service</w:t>
            </w:r>
          </w:p>
          <w:p w:rsidR="00BD2ACA" w:rsidP="00BD2ACA" w:rsidRDefault="00BD2ACA" w14:paraId="5430E049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721927A9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4A1361C0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6499D731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7CE167D6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6E59724D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7882F406" w14:textId="77777777">
            <w:pPr>
              <w:rPr>
                <w:rFonts w:ascii="Arial" w:hAnsi="Arial" w:cs="Arial"/>
              </w:rPr>
            </w:pPr>
          </w:p>
          <w:p w:rsidR="00BD2ACA" w:rsidP="00BD2ACA" w:rsidRDefault="00BD2ACA" w14:paraId="1A1EF434" w14:textId="52D87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Empowered individuals with lived experience contributing to service development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Pr="00B747B4" w:rsidR="00BD2ACA" w:rsidP="00BD2ACA" w:rsidRDefault="00BD2ACA" w14:paraId="308B2271" w14:textId="54F48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Support Grant Manager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BD2ACA" w:rsidP="00BD2ACA" w:rsidRDefault="00BD2ACA" w14:paraId="64B521B0" w14:textId="4446D1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2026</w:t>
            </w:r>
          </w:p>
        </w:tc>
      </w:tr>
    </w:tbl>
    <w:p w:rsidRPr="001068DF" w:rsidR="00C66419" w:rsidP="001068DF" w:rsidRDefault="00C66419" w14:paraId="2C1F7041" w14:textId="77777777">
      <w:pPr>
        <w:rPr>
          <w:rFonts w:ascii="Arial" w:hAnsi="Arial" w:cs="Arial"/>
          <w:i/>
          <w:iCs/>
        </w:rPr>
      </w:pPr>
    </w:p>
    <w:sectPr w:rsidRPr="001068DF" w:rsidR="00C66419" w:rsidSect="00D110F8">
      <w:type w:val="continuous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1D7" w:rsidP="006C27B4" w:rsidRDefault="003C01D7" w14:paraId="079054D0" w14:textId="77777777">
      <w:pPr>
        <w:spacing w:after="0" w:line="240" w:lineRule="auto"/>
      </w:pPr>
      <w:r>
        <w:separator/>
      </w:r>
    </w:p>
  </w:endnote>
  <w:endnote w:type="continuationSeparator" w:id="0">
    <w:p w:rsidR="003C01D7" w:rsidP="006C27B4" w:rsidRDefault="003C01D7" w14:paraId="2582BE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30235"/>
      <w:docPartObj>
        <w:docPartGallery w:val="Page Numbers (Bottom of Page)"/>
        <w:docPartUnique/>
      </w:docPartObj>
    </w:sdtPr>
    <w:sdtEndPr>
      <w:rPr>
        <w:noProof/>
        <w:color w:val="00927E"/>
      </w:rPr>
    </w:sdtEndPr>
    <w:sdtContent>
      <w:p w:rsidRPr="00BD2ACA" w:rsidR="00EE5EC7" w:rsidRDefault="00EE5EC7" w14:paraId="65AD7DF5" w14:textId="77777777">
        <w:pPr>
          <w:pStyle w:val="Footer"/>
          <w:jc w:val="right"/>
          <w:rPr>
            <w:color w:val="00927E"/>
          </w:rPr>
        </w:pPr>
        <w:r w:rsidRPr="00BD2ACA">
          <w:rPr>
            <w:color w:val="00927E"/>
          </w:rPr>
          <w:fldChar w:fldCharType="begin"/>
        </w:r>
        <w:r w:rsidRPr="00BD2ACA">
          <w:rPr>
            <w:color w:val="00927E"/>
          </w:rPr>
          <w:instrText xml:space="preserve"> PAGE   \* MERGEFORMAT </w:instrText>
        </w:r>
        <w:r w:rsidRPr="00BD2ACA">
          <w:rPr>
            <w:color w:val="00927E"/>
          </w:rPr>
          <w:fldChar w:fldCharType="separate"/>
        </w:r>
        <w:r w:rsidRPr="00BD2ACA">
          <w:rPr>
            <w:noProof/>
            <w:color w:val="00927E"/>
          </w:rPr>
          <w:t>2</w:t>
        </w:r>
        <w:r w:rsidRPr="00BD2ACA">
          <w:rPr>
            <w:noProof/>
            <w:color w:val="00927E"/>
          </w:rPr>
          <w:fldChar w:fldCharType="end"/>
        </w:r>
      </w:p>
    </w:sdtContent>
  </w:sdt>
  <w:p w:rsidR="00EE5EC7" w:rsidRDefault="00EE5EC7" w14:paraId="4BC61D4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1D7" w:rsidP="006C27B4" w:rsidRDefault="003C01D7" w14:paraId="327B2FFE" w14:textId="77777777">
      <w:pPr>
        <w:spacing w:after="0" w:line="240" w:lineRule="auto"/>
      </w:pPr>
      <w:r>
        <w:separator/>
      </w:r>
    </w:p>
  </w:footnote>
  <w:footnote w:type="continuationSeparator" w:id="0">
    <w:p w:rsidR="003C01D7" w:rsidP="006C27B4" w:rsidRDefault="003C01D7" w14:paraId="2F1EFC9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A36"/>
    <w:multiLevelType w:val="hybridMultilevel"/>
    <w:tmpl w:val="4F12F2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3D613B"/>
    <w:multiLevelType w:val="hybridMultilevel"/>
    <w:tmpl w:val="163AFD58"/>
    <w:lvl w:ilvl="0" w:tplc="A8B6F6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E9CC0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464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8A3A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78AA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40A1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5C04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F6F7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CE2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C03F7E"/>
    <w:multiLevelType w:val="hybridMultilevel"/>
    <w:tmpl w:val="B2A84D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441875"/>
    <w:multiLevelType w:val="hybridMultilevel"/>
    <w:tmpl w:val="0B2CFC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F5767C"/>
    <w:multiLevelType w:val="hybridMultilevel"/>
    <w:tmpl w:val="A45CE3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A60AA1"/>
    <w:multiLevelType w:val="hybridMultilevel"/>
    <w:tmpl w:val="C6B476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DB0E0B"/>
    <w:multiLevelType w:val="hybridMultilevel"/>
    <w:tmpl w:val="FD4861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026997"/>
    <w:multiLevelType w:val="hybridMultilevel"/>
    <w:tmpl w:val="05EEDD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EEF6CBB"/>
    <w:multiLevelType w:val="hybridMultilevel"/>
    <w:tmpl w:val="234677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9461142">
    <w:abstractNumId w:val="1"/>
  </w:num>
  <w:num w:numId="2" w16cid:durableId="1827042825">
    <w:abstractNumId w:val="8"/>
  </w:num>
  <w:num w:numId="3" w16cid:durableId="697269277">
    <w:abstractNumId w:val="5"/>
  </w:num>
  <w:num w:numId="4" w16cid:durableId="385449269">
    <w:abstractNumId w:val="3"/>
  </w:num>
  <w:num w:numId="5" w16cid:durableId="1176069860">
    <w:abstractNumId w:val="0"/>
  </w:num>
  <w:num w:numId="6" w16cid:durableId="1445419634">
    <w:abstractNumId w:val="2"/>
  </w:num>
  <w:num w:numId="7" w16cid:durableId="352536869">
    <w:abstractNumId w:val="4"/>
  </w:num>
  <w:num w:numId="8" w16cid:durableId="104470394">
    <w:abstractNumId w:val="6"/>
  </w:num>
  <w:num w:numId="9" w16cid:durableId="142488504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AA"/>
    <w:rsid w:val="00006B8D"/>
    <w:rsid w:val="00010B01"/>
    <w:rsid w:val="00012514"/>
    <w:rsid w:val="00012D7C"/>
    <w:rsid w:val="000241F3"/>
    <w:rsid w:val="0003634B"/>
    <w:rsid w:val="00036773"/>
    <w:rsid w:val="0004621C"/>
    <w:rsid w:val="00057B9B"/>
    <w:rsid w:val="00063A15"/>
    <w:rsid w:val="00072251"/>
    <w:rsid w:val="0007439C"/>
    <w:rsid w:val="00077048"/>
    <w:rsid w:val="00084FC2"/>
    <w:rsid w:val="000851C1"/>
    <w:rsid w:val="000962A5"/>
    <w:rsid w:val="000A116A"/>
    <w:rsid w:val="000A4635"/>
    <w:rsid w:val="000B04A4"/>
    <w:rsid w:val="000B2F9F"/>
    <w:rsid w:val="000B4014"/>
    <w:rsid w:val="000B6393"/>
    <w:rsid w:val="000B7E62"/>
    <w:rsid w:val="000C4B41"/>
    <w:rsid w:val="001013B8"/>
    <w:rsid w:val="001045C8"/>
    <w:rsid w:val="00106170"/>
    <w:rsid w:val="001068DF"/>
    <w:rsid w:val="00134162"/>
    <w:rsid w:val="00140194"/>
    <w:rsid w:val="00140F02"/>
    <w:rsid w:val="001438F8"/>
    <w:rsid w:val="0015706D"/>
    <w:rsid w:val="00172C16"/>
    <w:rsid w:val="001764CE"/>
    <w:rsid w:val="00183B19"/>
    <w:rsid w:val="00187325"/>
    <w:rsid w:val="001C3173"/>
    <w:rsid w:val="001C6B34"/>
    <w:rsid w:val="001C7B8D"/>
    <w:rsid w:val="001D5EC0"/>
    <w:rsid w:val="001D6148"/>
    <w:rsid w:val="001F113E"/>
    <w:rsid w:val="00203CF8"/>
    <w:rsid w:val="002077CD"/>
    <w:rsid w:val="00207A3D"/>
    <w:rsid w:val="0021326A"/>
    <w:rsid w:val="00214B48"/>
    <w:rsid w:val="00215BA0"/>
    <w:rsid w:val="00216573"/>
    <w:rsid w:val="00220651"/>
    <w:rsid w:val="00231A0D"/>
    <w:rsid w:val="00232671"/>
    <w:rsid w:val="00236A6F"/>
    <w:rsid w:val="002468A5"/>
    <w:rsid w:val="00247A63"/>
    <w:rsid w:val="00253618"/>
    <w:rsid w:val="00260D81"/>
    <w:rsid w:val="00273433"/>
    <w:rsid w:val="00277B9E"/>
    <w:rsid w:val="00290EF3"/>
    <w:rsid w:val="002948F8"/>
    <w:rsid w:val="002A2F21"/>
    <w:rsid w:val="002B3794"/>
    <w:rsid w:val="002C0361"/>
    <w:rsid w:val="002D6A66"/>
    <w:rsid w:val="002D7FCE"/>
    <w:rsid w:val="002E2EB6"/>
    <w:rsid w:val="002E747B"/>
    <w:rsid w:val="002E77DE"/>
    <w:rsid w:val="002F448B"/>
    <w:rsid w:val="00303A37"/>
    <w:rsid w:val="00311AFD"/>
    <w:rsid w:val="0031342F"/>
    <w:rsid w:val="00320D41"/>
    <w:rsid w:val="0032124A"/>
    <w:rsid w:val="003262BE"/>
    <w:rsid w:val="0032711E"/>
    <w:rsid w:val="00334B32"/>
    <w:rsid w:val="00341E71"/>
    <w:rsid w:val="00347ED4"/>
    <w:rsid w:val="003637E1"/>
    <w:rsid w:val="0037211F"/>
    <w:rsid w:val="00375152"/>
    <w:rsid w:val="00376143"/>
    <w:rsid w:val="00387F59"/>
    <w:rsid w:val="003972F3"/>
    <w:rsid w:val="003977D5"/>
    <w:rsid w:val="003A4974"/>
    <w:rsid w:val="003B2330"/>
    <w:rsid w:val="003C01D7"/>
    <w:rsid w:val="003D33B4"/>
    <w:rsid w:val="003D5F7C"/>
    <w:rsid w:val="003E188D"/>
    <w:rsid w:val="003E5936"/>
    <w:rsid w:val="0040330C"/>
    <w:rsid w:val="0040361A"/>
    <w:rsid w:val="004040BA"/>
    <w:rsid w:val="004206F4"/>
    <w:rsid w:val="00423E5A"/>
    <w:rsid w:val="0043315C"/>
    <w:rsid w:val="0043653B"/>
    <w:rsid w:val="00444EB4"/>
    <w:rsid w:val="00446372"/>
    <w:rsid w:val="004470B6"/>
    <w:rsid w:val="00456839"/>
    <w:rsid w:val="00461D14"/>
    <w:rsid w:val="00465961"/>
    <w:rsid w:val="00467627"/>
    <w:rsid w:val="00470701"/>
    <w:rsid w:val="004736A8"/>
    <w:rsid w:val="00484A5E"/>
    <w:rsid w:val="0049749C"/>
    <w:rsid w:val="004B3D68"/>
    <w:rsid w:val="004B48AD"/>
    <w:rsid w:val="004B77EB"/>
    <w:rsid w:val="004C32B2"/>
    <w:rsid w:val="004E50EC"/>
    <w:rsid w:val="005105EF"/>
    <w:rsid w:val="005217B4"/>
    <w:rsid w:val="00526FF0"/>
    <w:rsid w:val="005346C2"/>
    <w:rsid w:val="005431FB"/>
    <w:rsid w:val="005455E0"/>
    <w:rsid w:val="0055090A"/>
    <w:rsid w:val="0055598F"/>
    <w:rsid w:val="005566D2"/>
    <w:rsid w:val="00567763"/>
    <w:rsid w:val="005711CF"/>
    <w:rsid w:val="0057588E"/>
    <w:rsid w:val="00584EB6"/>
    <w:rsid w:val="00586465"/>
    <w:rsid w:val="00594666"/>
    <w:rsid w:val="00594DC8"/>
    <w:rsid w:val="00597852"/>
    <w:rsid w:val="005B042F"/>
    <w:rsid w:val="005B0558"/>
    <w:rsid w:val="005C45C7"/>
    <w:rsid w:val="005D47AE"/>
    <w:rsid w:val="005D532D"/>
    <w:rsid w:val="005D636F"/>
    <w:rsid w:val="005E4345"/>
    <w:rsid w:val="005E6E24"/>
    <w:rsid w:val="005F2469"/>
    <w:rsid w:val="00600659"/>
    <w:rsid w:val="006023D0"/>
    <w:rsid w:val="00612750"/>
    <w:rsid w:val="006146D8"/>
    <w:rsid w:val="00627DA0"/>
    <w:rsid w:val="00630BD6"/>
    <w:rsid w:val="0063707F"/>
    <w:rsid w:val="0064638B"/>
    <w:rsid w:val="00656DA7"/>
    <w:rsid w:val="00656EEA"/>
    <w:rsid w:val="00682A03"/>
    <w:rsid w:val="006A01AA"/>
    <w:rsid w:val="006A1591"/>
    <w:rsid w:val="006A30B9"/>
    <w:rsid w:val="006A38B2"/>
    <w:rsid w:val="006A5940"/>
    <w:rsid w:val="006B1E85"/>
    <w:rsid w:val="006B528F"/>
    <w:rsid w:val="006B5C39"/>
    <w:rsid w:val="006C27B4"/>
    <w:rsid w:val="006D7A1A"/>
    <w:rsid w:val="006E6939"/>
    <w:rsid w:val="006E783A"/>
    <w:rsid w:val="006F09D1"/>
    <w:rsid w:val="006F4596"/>
    <w:rsid w:val="007042DD"/>
    <w:rsid w:val="00705A4B"/>
    <w:rsid w:val="00705A6F"/>
    <w:rsid w:val="0072239D"/>
    <w:rsid w:val="00724735"/>
    <w:rsid w:val="00727B2E"/>
    <w:rsid w:val="007359FF"/>
    <w:rsid w:val="00747EAB"/>
    <w:rsid w:val="00756092"/>
    <w:rsid w:val="007605C7"/>
    <w:rsid w:val="00766BBF"/>
    <w:rsid w:val="00790ACB"/>
    <w:rsid w:val="00793420"/>
    <w:rsid w:val="00793689"/>
    <w:rsid w:val="00797B43"/>
    <w:rsid w:val="007B0B66"/>
    <w:rsid w:val="007B1276"/>
    <w:rsid w:val="007B7FA0"/>
    <w:rsid w:val="007C2B38"/>
    <w:rsid w:val="007C588C"/>
    <w:rsid w:val="007D6482"/>
    <w:rsid w:val="007E14F5"/>
    <w:rsid w:val="007E3A43"/>
    <w:rsid w:val="0080093F"/>
    <w:rsid w:val="00800A41"/>
    <w:rsid w:val="0082206D"/>
    <w:rsid w:val="008321F6"/>
    <w:rsid w:val="0083619E"/>
    <w:rsid w:val="00850C46"/>
    <w:rsid w:val="008653FB"/>
    <w:rsid w:val="00866F49"/>
    <w:rsid w:val="00884060"/>
    <w:rsid w:val="00897421"/>
    <w:rsid w:val="008A0F2A"/>
    <w:rsid w:val="008B1D72"/>
    <w:rsid w:val="008B2C63"/>
    <w:rsid w:val="008B4B06"/>
    <w:rsid w:val="008C021B"/>
    <w:rsid w:val="008C0E8F"/>
    <w:rsid w:val="008C60A9"/>
    <w:rsid w:val="008E1E10"/>
    <w:rsid w:val="008E24EA"/>
    <w:rsid w:val="008E6596"/>
    <w:rsid w:val="008F0836"/>
    <w:rsid w:val="008F13C7"/>
    <w:rsid w:val="008F1B41"/>
    <w:rsid w:val="008F4962"/>
    <w:rsid w:val="009031CE"/>
    <w:rsid w:val="0091003F"/>
    <w:rsid w:val="00910527"/>
    <w:rsid w:val="00917B47"/>
    <w:rsid w:val="00922671"/>
    <w:rsid w:val="00922D4B"/>
    <w:rsid w:val="0094499A"/>
    <w:rsid w:val="00945CCE"/>
    <w:rsid w:val="0094658D"/>
    <w:rsid w:val="00947B2D"/>
    <w:rsid w:val="00957143"/>
    <w:rsid w:val="009638D1"/>
    <w:rsid w:val="009725F6"/>
    <w:rsid w:val="00977EAB"/>
    <w:rsid w:val="009852F0"/>
    <w:rsid w:val="009A0E2D"/>
    <w:rsid w:val="009A667A"/>
    <w:rsid w:val="009A6B4F"/>
    <w:rsid w:val="009B4F01"/>
    <w:rsid w:val="009B54D5"/>
    <w:rsid w:val="009C2500"/>
    <w:rsid w:val="009D1E9E"/>
    <w:rsid w:val="009D6D12"/>
    <w:rsid w:val="009E22DC"/>
    <w:rsid w:val="009E2887"/>
    <w:rsid w:val="009E32F9"/>
    <w:rsid w:val="009E55FD"/>
    <w:rsid w:val="009F07E3"/>
    <w:rsid w:val="009F691F"/>
    <w:rsid w:val="009F6A46"/>
    <w:rsid w:val="00A02215"/>
    <w:rsid w:val="00A14668"/>
    <w:rsid w:val="00A208FA"/>
    <w:rsid w:val="00A2621E"/>
    <w:rsid w:val="00A32454"/>
    <w:rsid w:val="00A4443A"/>
    <w:rsid w:val="00A47D2C"/>
    <w:rsid w:val="00A52172"/>
    <w:rsid w:val="00A540AA"/>
    <w:rsid w:val="00A55ADD"/>
    <w:rsid w:val="00A55C3C"/>
    <w:rsid w:val="00A60450"/>
    <w:rsid w:val="00A67D13"/>
    <w:rsid w:val="00A70BC3"/>
    <w:rsid w:val="00A740F8"/>
    <w:rsid w:val="00A77005"/>
    <w:rsid w:val="00A86D90"/>
    <w:rsid w:val="00AA3086"/>
    <w:rsid w:val="00AC3893"/>
    <w:rsid w:val="00AF2D2F"/>
    <w:rsid w:val="00AF78E5"/>
    <w:rsid w:val="00B03AD0"/>
    <w:rsid w:val="00B03CFA"/>
    <w:rsid w:val="00B122E1"/>
    <w:rsid w:val="00B13794"/>
    <w:rsid w:val="00B16392"/>
    <w:rsid w:val="00B1655D"/>
    <w:rsid w:val="00B21E6E"/>
    <w:rsid w:val="00B24D0D"/>
    <w:rsid w:val="00B2797B"/>
    <w:rsid w:val="00B51244"/>
    <w:rsid w:val="00B55AD1"/>
    <w:rsid w:val="00B57450"/>
    <w:rsid w:val="00B6675B"/>
    <w:rsid w:val="00B75BB5"/>
    <w:rsid w:val="00B82800"/>
    <w:rsid w:val="00B93B58"/>
    <w:rsid w:val="00BA3149"/>
    <w:rsid w:val="00BA7BA6"/>
    <w:rsid w:val="00BA7F38"/>
    <w:rsid w:val="00BB0471"/>
    <w:rsid w:val="00BC247B"/>
    <w:rsid w:val="00BC46D4"/>
    <w:rsid w:val="00BD2ACA"/>
    <w:rsid w:val="00BE1AFB"/>
    <w:rsid w:val="00BE7316"/>
    <w:rsid w:val="00BF7E72"/>
    <w:rsid w:val="00C101AB"/>
    <w:rsid w:val="00C33E4B"/>
    <w:rsid w:val="00C364F1"/>
    <w:rsid w:val="00C559BA"/>
    <w:rsid w:val="00C62389"/>
    <w:rsid w:val="00C66419"/>
    <w:rsid w:val="00C67906"/>
    <w:rsid w:val="00C722A9"/>
    <w:rsid w:val="00C7364E"/>
    <w:rsid w:val="00C76D93"/>
    <w:rsid w:val="00C94BA3"/>
    <w:rsid w:val="00C94CD6"/>
    <w:rsid w:val="00C9623E"/>
    <w:rsid w:val="00CA6883"/>
    <w:rsid w:val="00CB4A2C"/>
    <w:rsid w:val="00CB64D2"/>
    <w:rsid w:val="00CD77AE"/>
    <w:rsid w:val="00CE2B50"/>
    <w:rsid w:val="00CF7520"/>
    <w:rsid w:val="00D03A22"/>
    <w:rsid w:val="00D110F8"/>
    <w:rsid w:val="00D139FE"/>
    <w:rsid w:val="00D22316"/>
    <w:rsid w:val="00D239BC"/>
    <w:rsid w:val="00D31E83"/>
    <w:rsid w:val="00D451B3"/>
    <w:rsid w:val="00D45F26"/>
    <w:rsid w:val="00D72011"/>
    <w:rsid w:val="00D967C5"/>
    <w:rsid w:val="00DA527B"/>
    <w:rsid w:val="00DD10CA"/>
    <w:rsid w:val="00DE65BD"/>
    <w:rsid w:val="00DF02EC"/>
    <w:rsid w:val="00DF33A2"/>
    <w:rsid w:val="00DF3E93"/>
    <w:rsid w:val="00DF4462"/>
    <w:rsid w:val="00E25A50"/>
    <w:rsid w:val="00E34491"/>
    <w:rsid w:val="00E40B6C"/>
    <w:rsid w:val="00E523C0"/>
    <w:rsid w:val="00E579AC"/>
    <w:rsid w:val="00E62064"/>
    <w:rsid w:val="00E6484D"/>
    <w:rsid w:val="00E66454"/>
    <w:rsid w:val="00E8359F"/>
    <w:rsid w:val="00E83C79"/>
    <w:rsid w:val="00E95768"/>
    <w:rsid w:val="00EA00EE"/>
    <w:rsid w:val="00EA23ED"/>
    <w:rsid w:val="00EA462D"/>
    <w:rsid w:val="00EB6E6E"/>
    <w:rsid w:val="00EB7E88"/>
    <w:rsid w:val="00EC5335"/>
    <w:rsid w:val="00EC5C08"/>
    <w:rsid w:val="00EE5EC7"/>
    <w:rsid w:val="00F06660"/>
    <w:rsid w:val="00F06EF2"/>
    <w:rsid w:val="00F0A78D"/>
    <w:rsid w:val="00F2301D"/>
    <w:rsid w:val="00F23D23"/>
    <w:rsid w:val="00F409F3"/>
    <w:rsid w:val="00F43730"/>
    <w:rsid w:val="00F7203F"/>
    <w:rsid w:val="00F86237"/>
    <w:rsid w:val="00F90461"/>
    <w:rsid w:val="00FA238E"/>
    <w:rsid w:val="00FB06ED"/>
    <w:rsid w:val="00FB155A"/>
    <w:rsid w:val="00FB73F9"/>
    <w:rsid w:val="00FC585C"/>
    <w:rsid w:val="00FD1E1C"/>
    <w:rsid w:val="01248910"/>
    <w:rsid w:val="01CFA640"/>
    <w:rsid w:val="033EE885"/>
    <w:rsid w:val="0433F042"/>
    <w:rsid w:val="06F9BBC2"/>
    <w:rsid w:val="0A03E5A9"/>
    <w:rsid w:val="0BF69A9E"/>
    <w:rsid w:val="0F3259D6"/>
    <w:rsid w:val="0F3AC6AA"/>
    <w:rsid w:val="1025EFBF"/>
    <w:rsid w:val="17825E4F"/>
    <w:rsid w:val="1870A45E"/>
    <w:rsid w:val="18A6A268"/>
    <w:rsid w:val="1925074D"/>
    <w:rsid w:val="19D2D141"/>
    <w:rsid w:val="1A9551DA"/>
    <w:rsid w:val="1B14D779"/>
    <w:rsid w:val="218EC29B"/>
    <w:rsid w:val="247E3B34"/>
    <w:rsid w:val="26CAD260"/>
    <w:rsid w:val="2C8FCBE4"/>
    <w:rsid w:val="2E175738"/>
    <w:rsid w:val="2F1EB174"/>
    <w:rsid w:val="30134D90"/>
    <w:rsid w:val="360BA771"/>
    <w:rsid w:val="39379A83"/>
    <w:rsid w:val="3D25E318"/>
    <w:rsid w:val="3DAC1E64"/>
    <w:rsid w:val="411B43F1"/>
    <w:rsid w:val="42B71DFD"/>
    <w:rsid w:val="434EB7F9"/>
    <w:rsid w:val="453F6F3D"/>
    <w:rsid w:val="4568F7D8"/>
    <w:rsid w:val="474A606A"/>
    <w:rsid w:val="4F658FFC"/>
    <w:rsid w:val="525CACE9"/>
    <w:rsid w:val="53DE962A"/>
    <w:rsid w:val="5775FE27"/>
    <w:rsid w:val="588ACB82"/>
    <w:rsid w:val="58A81B2E"/>
    <w:rsid w:val="5B5B0F7D"/>
    <w:rsid w:val="5DB6E28A"/>
    <w:rsid w:val="5DCA0BE2"/>
    <w:rsid w:val="5DF1D7AD"/>
    <w:rsid w:val="5E15263C"/>
    <w:rsid w:val="6327E366"/>
    <w:rsid w:val="63344BF2"/>
    <w:rsid w:val="638F3194"/>
    <w:rsid w:val="65DF2D4B"/>
    <w:rsid w:val="6AF42EE5"/>
    <w:rsid w:val="72FC7756"/>
    <w:rsid w:val="74416B1B"/>
    <w:rsid w:val="78A1DAA3"/>
    <w:rsid w:val="7A32767F"/>
    <w:rsid w:val="7B955759"/>
    <w:rsid w:val="7DDC1B05"/>
    <w:rsid w:val="7E39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CFA2C5"/>
  <w15:chartTrackingRefBased/>
  <w15:docId w15:val="{F6684B6E-7849-4A00-8364-BB7A62E8F2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ACA"/>
    <w:pPr>
      <w:keepNext/>
      <w:keepLines/>
      <w:spacing w:after="0" w:line="240" w:lineRule="auto"/>
      <w:outlineLvl w:val="0"/>
    </w:pPr>
    <w:rPr>
      <w:rFonts w:ascii="Arial Bold" w:hAnsi="Arial Bold" w:eastAsiaTheme="majorEastAsia" w:cstheme="majorBidi"/>
      <w:b/>
      <w:bCs/>
      <w:color w:val="00927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ACA"/>
    <w:pPr>
      <w:keepNext/>
      <w:keepLines/>
      <w:spacing w:after="0"/>
      <w:outlineLvl w:val="1"/>
    </w:pPr>
    <w:rPr>
      <w:rFonts w:ascii="Arial" w:hAnsi="Arial" w:cs="Arial" w:eastAsiaTheme="majorEastAsia"/>
      <w:b/>
      <w:bCs/>
      <w:color w:val="00927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0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0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D2ACA"/>
    <w:rPr>
      <w:rFonts w:ascii="Arial Bold" w:hAnsi="Arial Bold" w:eastAsiaTheme="majorEastAsia" w:cstheme="majorBidi"/>
      <w:b/>
      <w:bCs/>
      <w:color w:val="00927E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BD2ACA"/>
    <w:rPr>
      <w:rFonts w:ascii="Arial" w:hAnsi="Arial" w:cs="Arial" w:eastAsiaTheme="majorEastAsia"/>
      <w:b/>
      <w:bCs/>
      <w:color w:val="00927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40AA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40AA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40AA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40A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40A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40A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4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0A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40A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4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0A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4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0A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0AA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40A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0A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27B4"/>
  </w:style>
  <w:style w:type="paragraph" w:styleId="Footer">
    <w:name w:val="footer"/>
    <w:basedOn w:val="Normal"/>
    <w:link w:val="FooterChar"/>
    <w:uiPriority w:val="99"/>
    <w:unhideWhenUsed/>
    <w:rsid w:val="006C2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27B4"/>
  </w:style>
  <w:style w:type="table" w:styleId="TableGrid">
    <w:name w:val="Table Grid"/>
    <w:basedOn w:val="TableNormal"/>
    <w:uiPriority w:val="39"/>
    <w:rsid w:val="00C664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1925074D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31A0D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9F6A46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F6A46"/>
    <w:pPr>
      <w:tabs>
        <w:tab w:val="left" w:pos="454"/>
        <w:tab w:val="right" w:leader="dot" w:pos="9016"/>
      </w:tabs>
      <w:spacing w:after="100"/>
    </w:pPr>
    <w:rPr>
      <w:rFonts w:ascii="Arial" w:hAnsi="Arial"/>
      <w:color w:val="1BAF90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F6A46"/>
    <w:pPr>
      <w:spacing w:after="100"/>
      <w:ind w:left="454"/>
    </w:pPr>
    <w:rPr>
      <w:rFonts w:ascii="Arial" w:hAnsi="Arial"/>
      <w:color w:val="1BAF9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wales/sites/default/files/publications/2023-03/housing-support-grant-outcomes-framework%20%282%29.pdf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Conwy County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Housing Support Programme</dc:title>
  <dc:subject>@Title</dc:subject>
  <dc:creator>Jodie Davies</dc:creator>
  <keywords>
  </keywords>
  <dc:description>
  </dc:description>
  <lastModifiedBy>Elaine Doga</lastModifiedBy>
  <revision>186</revision>
  <lastPrinted>2025-10-22T19:07:00.0000000Z</lastPrinted>
  <dcterms:created xsi:type="dcterms:W3CDTF">2025-10-21T16:58:00.0000000Z</dcterms:created>
  <dcterms:modified xsi:type="dcterms:W3CDTF">2026-01-28T11:00:59Z</dcterms:modified>
</coreProperties>
</file>