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4F6" w:rsidRDefault="008674F6" w14:paraId="00194943" w14:textId="63D19B56">
      <w:pPr>
        <w:rPr>
          <w:rFonts w:ascii="Arial" w:hAnsi="Arial" w:cs="Arial"/>
          <w:b/>
          <w:bCs/>
        </w:rPr>
        <w:sectPr w:rsidR="008674F6" w:rsidSect="008674F6">
          <w:footerReference w:type="default" r:id="rId7"/>
          <w:type w:val="continuous"/>
          <w:pgSz w:w="11906" w:h="16838"/>
          <w:pgMar w:top="0" w:right="0" w:bottom="0" w:left="0" w:header="709" w:footer="709" w:gutter="0"/>
          <w:cols w:space="708"/>
          <w:docGrid w:linePitch="360"/>
        </w:sectPr>
      </w:pPr>
      <w:r>
        <w:rPr>
          <w:rFonts w:ascii="Arial" w:hAnsi="Arial" w:cs="Arial"/>
          <w:b/>
          <w:bCs/>
          <w:noProof/>
        </w:rPr>
        <w:drawing>
          <wp:inline distT="0" distB="0" distL="0" distR="0" wp14:anchorId="7B4126FA" wp14:editId="45AA844D">
            <wp:extent cx="7559040" cy="10692384"/>
            <wp:effectExtent l="0" t="0" r="3810" b="0"/>
            <wp:docPr id="1310052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052982"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pic:spPr>
                </pic:pic>
              </a:graphicData>
            </a:graphic>
          </wp:inline>
        </w:drawing>
      </w:r>
    </w:p>
    <w:p w:rsidR="008674F6" w:rsidRDefault="008674F6" w14:paraId="60978727" w14:textId="77777777">
      <w:pPr>
        <w:rPr>
          <w:rFonts w:ascii="Arial" w:hAnsi="Arial" w:cs="Arial"/>
          <w:b/>
          <w:bCs/>
        </w:rPr>
      </w:pPr>
    </w:p>
    <w:sdt>
      <w:sdtPr>
        <w:rPr>
          <w:rFonts w:ascii="Arial" w:hAnsi="Arial" w:eastAsiaTheme="minorHAnsi" w:cstheme="minorBidi"/>
          <w:color w:val="000000" w:themeColor="text1"/>
          <w:sz w:val="22"/>
          <w:szCs w:val="22"/>
          <w:lang w:val="en-GB"/>
        </w:rPr>
        <w:id w:val="-61108895"/>
        <w:docPartObj>
          <w:docPartGallery w:val="Table of Contents"/>
          <w:docPartUnique/>
        </w:docPartObj>
      </w:sdtPr>
      <w:sdtEndPr>
        <w:rPr>
          <w:b/>
          <w:bCs/>
          <w:noProof/>
        </w:rPr>
      </w:sdtEndPr>
      <w:sdtContent>
        <w:p w:rsidRPr="00793859" w:rsidR="00D937D2" w:rsidP="00793859" w:rsidRDefault="00D937D2" w14:paraId="5C17896C" w14:textId="77777777">
          <w:pPr>
            <w:pStyle w:val="TOCHeading"/>
            <w:rPr>
              <w:rFonts w:ascii="Arial" w:hAnsi="Arial" w:cs="Arial"/>
              <w:b/>
              <w:bCs/>
              <w:color w:val="1BAF90"/>
            </w:rPr>
          </w:pPr>
          <w:r w:rsidRPr="00793859">
            <w:rPr>
              <w:rFonts w:ascii="Arial" w:hAnsi="Arial" w:cs="Arial"/>
              <w:b/>
              <w:bCs/>
              <w:color w:val="1BAF90"/>
            </w:rPr>
            <w:t>Contents</w:t>
          </w:r>
        </w:p>
        <w:p w:rsidRPr="00BF6983" w:rsidR="00D937D2" w:rsidP="00D937D2" w:rsidRDefault="00D937D2" w14:paraId="0DFFE78D" w14:textId="77777777">
          <w:pPr>
            <w:rPr>
              <w:color w:val="000000" w:themeColor="text1"/>
              <w:lang w:val="en-US"/>
            </w:rPr>
          </w:pPr>
        </w:p>
        <w:p w:rsidR="00793859" w:rsidRDefault="00D937D2" w14:paraId="34EF2B4C" w14:textId="6086DA60">
          <w:pPr>
            <w:pStyle w:val="TOC1"/>
            <w:rPr>
              <w:rFonts w:asciiTheme="minorHAnsi" w:hAnsiTheme="minorHAnsi" w:eastAsiaTheme="minorEastAsia"/>
              <w:noProof/>
              <w:color w:val="auto"/>
              <w:kern w:val="2"/>
              <w:sz w:val="24"/>
              <w:szCs w:val="24"/>
              <w:lang w:eastAsia="en-GB"/>
              <w14:ligatures w14:val="standardContextual"/>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history="1" w:anchor="_Toc215586952">
            <w:r w:rsidRPr="00AA2E61" w:rsidR="00793859">
              <w:rPr>
                <w:rStyle w:val="Hyperlink"/>
                <w:noProof/>
              </w:rPr>
              <w:t>1</w:t>
            </w:r>
            <w:r w:rsidR="00793859">
              <w:rPr>
                <w:rFonts w:asciiTheme="minorHAnsi" w:hAnsiTheme="minorHAnsi" w:eastAsiaTheme="minorEastAsia"/>
                <w:noProof/>
                <w:color w:val="auto"/>
                <w:kern w:val="2"/>
                <w:sz w:val="24"/>
                <w:szCs w:val="24"/>
                <w:lang w:eastAsia="en-GB"/>
                <w14:ligatures w14:val="standardContextual"/>
              </w:rPr>
              <w:tab/>
            </w:r>
            <w:r w:rsidRPr="00AA2E61" w:rsidR="00793859">
              <w:rPr>
                <w:rStyle w:val="Hyperlink"/>
                <w:noProof/>
              </w:rPr>
              <w:t>Introduction</w:t>
            </w:r>
            <w:r w:rsidR="00793859">
              <w:rPr>
                <w:noProof/>
                <w:webHidden/>
              </w:rPr>
              <w:tab/>
            </w:r>
            <w:r w:rsidR="00793859">
              <w:rPr>
                <w:noProof/>
                <w:webHidden/>
              </w:rPr>
              <w:fldChar w:fldCharType="begin"/>
            </w:r>
            <w:r w:rsidR="00793859">
              <w:rPr>
                <w:noProof/>
                <w:webHidden/>
              </w:rPr>
              <w:instrText xml:space="preserve"> PAGEREF _Toc215586952 \h </w:instrText>
            </w:r>
            <w:r w:rsidR="00793859">
              <w:rPr>
                <w:noProof/>
                <w:webHidden/>
              </w:rPr>
            </w:r>
            <w:r w:rsidR="00793859">
              <w:rPr>
                <w:noProof/>
                <w:webHidden/>
              </w:rPr>
              <w:fldChar w:fldCharType="separate"/>
            </w:r>
            <w:r w:rsidR="00793859">
              <w:rPr>
                <w:noProof/>
                <w:webHidden/>
              </w:rPr>
              <w:t>1</w:t>
            </w:r>
            <w:r w:rsidR="00793859">
              <w:rPr>
                <w:noProof/>
                <w:webHidden/>
              </w:rPr>
              <w:fldChar w:fldCharType="end"/>
            </w:r>
          </w:hyperlink>
        </w:p>
        <w:p w:rsidR="00793859" w:rsidRDefault="00793859" w14:paraId="565CD195" w14:textId="0162EAA5">
          <w:pPr>
            <w:pStyle w:val="TOC1"/>
            <w:rPr>
              <w:rFonts w:asciiTheme="minorHAnsi" w:hAnsiTheme="minorHAnsi" w:eastAsiaTheme="minorEastAsia"/>
              <w:noProof/>
              <w:color w:val="auto"/>
              <w:kern w:val="2"/>
              <w:sz w:val="24"/>
              <w:szCs w:val="24"/>
              <w:lang w:eastAsia="en-GB"/>
              <w14:ligatures w14:val="standardContextual"/>
            </w:rPr>
          </w:pPr>
          <w:hyperlink w:history="1" w:anchor="_Toc215586953">
            <w:r w:rsidRPr="00AA2E61">
              <w:rPr>
                <w:rStyle w:val="Hyperlink"/>
                <w:noProof/>
              </w:rPr>
              <w:t>2</w:t>
            </w:r>
            <w:r>
              <w:rPr>
                <w:rFonts w:asciiTheme="minorHAnsi" w:hAnsiTheme="minorHAnsi" w:eastAsiaTheme="minorEastAsia"/>
                <w:noProof/>
                <w:color w:val="auto"/>
                <w:kern w:val="2"/>
                <w:sz w:val="24"/>
                <w:szCs w:val="24"/>
                <w:lang w:eastAsia="en-GB"/>
                <w14:ligatures w14:val="standardContextual"/>
              </w:rPr>
              <w:tab/>
            </w:r>
            <w:r w:rsidRPr="00AA2E61">
              <w:rPr>
                <w:rStyle w:val="Hyperlink"/>
                <w:noProof/>
              </w:rPr>
              <w:t>Core Objectives by Focus Area</w:t>
            </w:r>
            <w:r>
              <w:rPr>
                <w:noProof/>
                <w:webHidden/>
              </w:rPr>
              <w:tab/>
            </w:r>
            <w:r>
              <w:rPr>
                <w:noProof/>
                <w:webHidden/>
              </w:rPr>
              <w:fldChar w:fldCharType="begin"/>
            </w:r>
            <w:r>
              <w:rPr>
                <w:noProof/>
                <w:webHidden/>
              </w:rPr>
              <w:instrText xml:space="preserve"> PAGEREF _Toc215586953 \h </w:instrText>
            </w:r>
            <w:r>
              <w:rPr>
                <w:noProof/>
                <w:webHidden/>
              </w:rPr>
            </w:r>
            <w:r>
              <w:rPr>
                <w:noProof/>
                <w:webHidden/>
              </w:rPr>
              <w:fldChar w:fldCharType="separate"/>
            </w:r>
            <w:r>
              <w:rPr>
                <w:noProof/>
                <w:webHidden/>
              </w:rPr>
              <w:t>1</w:t>
            </w:r>
            <w:r>
              <w:rPr>
                <w:noProof/>
                <w:webHidden/>
              </w:rPr>
              <w:fldChar w:fldCharType="end"/>
            </w:r>
          </w:hyperlink>
        </w:p>
        <w:p w:rsidR="00793859" w:rsidRDefault="00793859" w14:paraId="41E12C34" w14:textId="3677EE44">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6954">
            <w:r w:rsidRPr="00AA2E61">
              <w:rPr>
                <w:rStyle w:val="Hyperlink"/>
                <w:noProof/>
              </w:rPr>
              <w:t>Focus area 1: Regulation</w:t>
            </w:r>
            <w:r>
              <w:rPr>
                <w:noProof/>
                <w:webHidden/>
              </w:rPr>
              <w:tab/>
            </w:r>
            <w:r>
              <w:rPr>
                <w:noProof/>
                <w:webHidden/>
              </w:rPr>
              <w:fldChar w:fldCharType="begin"/>
            </w:r>
            <w:r>
              <w:rPr>
                <w:noProof/>
                <w:webHidden/>
              </w:rPr>
              <w:instrText xml:space="preserve"> PAGEREF _Toc215586954 \h </w:instrText>
            </w:r>
            <w:r>
              <w:rPr>
                <w:noProof/>
                <w:webHidden/>
              </w:rPr>
            </w:r>
            <w:r>
              <w:rPr>
                <w:noProof/>
                <w:webHidden/>
              </w:rPr>
              <w:fldChar w:fldCharType="separate"/>
            </w:r>
            <w:r>
              <w:rPr>
                <w:noProof/>
                <w:webHidden/>
              </w:rPr>
              <w:t>1</w:t>
            </w:r>
            <w:r>
              <w:rPr>
                <w:noProof/>
                <w:webHidden/>
              </w:rPr>
              <w:fldChar w:fldCharType="end"/>
            </w:r>
          </w:hyperlink>
        </w:p>
        <w:p w:rsidR="00793859" w:rsidRDefault="00793859" w14:paraId="76699005" w14:textId="3BC8899B">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6955">
            <w:r w:rsidRPr="00AA2E61">
              <w:rPr>
                <w:rStyle w:val="Hyperlink"/>
                <w:noProof/>
              </w:rPr>
              <w:t>Focus area 2: Landlords</w:t>
            </w:r>
            <w:r>
              <w:rPr>
                <w:noProof/>
                <w:webHidden/>
              </w:rPr>
              <w:tab/>
            </w:r>
            <w:r>
              <w:rPr>
                <w:noProof/>
                <w:webHidden/>
              </w:rPr>
              <w:fldChar w:fldCharType="begin"/>
            </w:r>
            <w:r>
              <w:rPr>
                <w:noProof/>
                <w:webHidden/>
              </w:rPr>
              <w:instrText xml:space="preserve"> PAGEREF _Toc215586955 \h </w:instrText>
            </w:r>
            <w:r>
              <w:rPr>
                <w:noProof/>
                <w:webHidden/>
              </w:rPr>
            </w:r>
            <w:r>
              <w:rPr>
                <w:noProof/>
                <w:webHidden/>
              </w:rPr>
              <w:fldChar w:fldCharType="separate"/>
            </w:r>
            <w:r>
              <w:rPr>
                <w:noProof/>
                <w:webHidden/>
              </w:rPr>
              <w:t>1</w:t>
            </w:r>
            <w:r>
              <w:rPr>
                <w:noProof/>
                <w:webHidden/>
              </w:rPr>
              <w:fldChar w:fldCharType="end"/>
            </w:r>
          </w:hyperlink>
        </w:p>
        <w:p w:rsidR="00793859" w:rsidRDefault="00793859" w14:paraId="4AC6F472" w14:textId="036B7EC3">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6956">
            <w:r w:rsidRPr="00AA2E61">
              <w:rPr>
                <w:rStyle w:val="Hyperlink"/>
                <w:noProof/>
              </w:rPr>
              <w:t>Focus area 3: Adaptations</w:t>
            </w:r>
            <w:r>
              <w:rPr>
                <w:noProof/>
                <w:webHidden/>
              </w:rPr>
              <w:tab/>
            </w:r>
            <w:r>
              <w:rPr>
                <w:noProof/>
                <w:webHidden/>
              </w:rPr>
              <w:fldChar w:fldCharType="begin"/>
            </w:r>
            <w:r>
              <w:rPr>
                <w:noProof/>
                <w:webHidden/>
              </w:rPr>
              <w:instrText xml:space="preserve"> PAGEREF _Toc215586956 \h </w:instrText>
            </w:r>
            <w:r>
              <w:rPr>
                <w:noProof/>
                <w:webHidden/>
              </w:rPr>
            </w:r>
            <w:r>
              <w:rPr>
                <w:noProof/>
                <w:webHidden/>
              </w:rPr>
              <w:fldChar w:fldCharType="separate"/>
            </w:r>
            <w:r>
              <w:rPr>
                <w:noProof/>
                <w:webHidden/>
              </w:rPr>
              <w:t>2</w:t>
            </w:r>
            <w:r>
              <w:rPr>
                <w:noProof/>
                <w:webHidden/>
              </w:rPr>
              <w:fldChar w:fldCharType="end"/>
            </w:r>
          </w:hyperlink>
        </w:p>
        <w:p w:rsidR="00793859" w:rsidRDefault="00793859" w14:paraId="4D9C9128" w14:textId="3E8B6D53">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6957">
            <w:r w:rsidRPr="00AA2E61">
              <w:rPr>
                <w:rStyle w:val="Hyperlink"/>
                <w:noProof/>
              </w:rPr>
              <w:t>Focus area 4: Property Conditions</w:t>
            </w:r>
            <w:r>
              <w:rPr>
                <w:noProof/>
                <w:webHidden/>
              </w:rPr>
              <w:tab/>
            </w:r>
            <w:r>
              <w:rPr>
                <w:noProof/>
                <w:webHidden/>
              </w:rPr>
              <w:fldChar w:fldCharType="begin"/>
            </w:r>
            <w:r>
              <w:rPr>
                <w:noProof/>
                <w:webHidden/>
              </w:rPr>
              <w:instrText xml:space="preserve"> PAGEREF _Toc215586957 \h </w:instrText>
            </w:r>
            <w:r>
              <w:rPr>
                <w:noProof/>
                <w:webHidden/>
              </w:rPr>
            </w:r>
            <w:r>
              <w:rPr>
                <w:noProof/>
                <w:webHidden/>
              </w:rPr>
              <w:fldChar w:fldCharType="separate"/>
            </w:r>
            <w:r>
              <w:rPr>
                <w:noProof/>
                <w:webHidden/>
              </w:rPr>
              <w:t>2</w:t>
            </w:r>
            <w:r>
              <w:rPr>
                <w:noProof/>
                <w:webHidden/>
              </w:rPr>
              <w:fldChar w:fldCharType="end"/>
            </w:r>
          </w:hyperlink>
        </w:p>
        <w:p w:rsidR="00793859" w:rsidRDefault="00793859" w14:paraId="0A7979E9" w14:textId="110A88E2">
          <w:pPr>
            <w:pStyle w:val="TOC1"/>
            <w:rPr>
              <w:rFonts w:asciiTheme="minorHAnsi" w:hAnsiTheme="minorHAnsi" w:eastAsiaTheme="minorEastAsia"/>
              <w:noProof/>
              <w:color w:val="auto"/>
              <w:kern w:val="2"/>
              <w:sz w:val="24"/>
              <w:szCs w:val="24"/>
              <w:lang w:eastAsia="en-GB"/>
              <w14:ligatures w14:val="standardContextual"/>
            </w:rPr>
          </w:pPr>
          <w:hyperlink w:history="1" w:anchor="_Toc215586958">
            <w:r w:rsidRPr="00AA2E61">
              <w:rPr>
                <w:rStyle w:val="Hyperlink"/>
                <w:noProof/>
              </w:rPr>
              <w:t>3</w:t>
            </w:r>
            <w:r>
              <w:rPr>
                <w:rFonts w:asciiTheme="minorHAnsi" w:hAnsiTheme="minorHAnsi" w:eastAsiaTheme="minorEastAsia"/>
                <w:noProof/>
                <w:color w:val="auto"/>
                <w:kern w:val="2"/>
                <w:sz w:val="24"/>
                <w:szCs w:val="24"/>
                <w:lang w:eastAsia="en-GB"/>
                <w14:ligatures w14:val="standardContextual"/>
              </w:rPr>
              <w:tab/>
            </w:r>
            <w:r w:rsidRPr="00AA2E61">
              <w:rPr>
                <w:rStyle w:val="Hyperlink"/>
                <w:noProof/>
              </w:rPr>
              <w:t>Resources</w:t>
            </w:r>
            <w:r>
              <w:rPr>
                <w:noProof/>
                <w:webHidden/>
              </w:rPr>
              <w:tab/>
            </w:r>
            <w:r>
              <w:rPr>
                <w:noProof/>
                <w:webHidden/>
              </w:rPr>
              <w:fldChar w:fldCharType="begin"/>
            </w:r>
            <w:r>
              <w:rPr>
                <w:noProof/>
                <w:webHidden/>
              </w:rPr>
              <w:instrText xml:space="preserve"> PAGEREF _Toc215586958 \h </w:instrText>
            </w:r>
            <w:r>
              <w:rPr>
                <w:noProof/>
                <w:webHidden/>
              </w:rPr>
            </w:r>
            <w:r>
              <w:rPr>
                <w:noProof/>
                <w:webHidden/>
              </w:rPr>
              <w:fldChar w:fldCharType="separate"/>
            </w:r>
            <w:r>
              <w:rPr>
                <w:noProof/>
                <w:webHidden/>
              </w:rPr>
              <w:t>2</w:t>
            </w:r>
            <w:r>
              <w:rPr>
                <w:noProof/>
                <w:webHidden/>
              </w:rPr>
              <w:fldChar w:fldCharType="end"/>
            </w:r>
          </w:hyperlink>
        </w:p>
        <w:p w:rsidR="00793859" w:rsidRDefault="00793859" w14:paraId="714692F8" w14:textId="02B3C64A">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6959">
            <w:r w:rsidRPr="00AA2E61">
              <w:rPr>
                <w:rStyle w:val="Hyperlink"/>
                <w:noProof/>
              </w:rPr>
              <w:t>Staffing</w:t>
            </w:r>
            <w:r>
              <w:rPr>
                <w:noProof/>
                <w:webHidden/>
              </w:rPr>
              <w:tab/>
            </w:r>
            <w:r>
              <w:rPr>
                <w:noProof/>
                <w:webHidden/>
              </w:rPr>
              <w:fldChar w:fldCharType="begin"/>
            </w:r>
            <w:r>
              <w:rPr>
                <w:noProof/>
                <w:webHidden/>
              </w:rPr>
              <w:instrText xml:space="preserve"> PAGEREF _Toc215586959 \h </w:instrText>
            </w:r>
            <w:r>
              <w:rPr>
                <w:noProof/>
                <w:webHidden/>
              </w:rPr>
            </w:r>
            <w:r>
              <w:rPr>
                <w:noProof/>
                <w:webHidden/>
              </w:rPr>
              <w:fldChar w:fldCharType="separate"/>
            </w:r>
            <w:r>
              <w:rPr>
                <w:noProof/>
                <w:webHidden/>
              </w:rPr>
              <w:t>2</w:t>
            </w:r>
            <w:r>
              <w:rPr>
                <w:noProof/>
                <w:webHidden/>
              </w:rPr>
              <w:fldChar w:fldCharType="end"/>
            </w:r>
          </w:hyperlink>
        </w:p>
        <w:p w:rsidR="00793859" w:rsidRDefault="00793859" w14:paraId="3B811E31" w14:textId="0BFB7F84">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6960">
            <w:r w:rsidRPr="00AA2E61">
              <w:rPr>
                <w:rStyle w:val="Hyperlink"/>
                <w:noProof/>
              </w:rPr>
              <w:t>Disabled Facilities Grant</w:t>
            </w:r>
            <w:r>
              <w:rPr>
                <w:noProof/>
                <w:webHidden/>
              </w:rPr>
              <w:tab/>
            </w:r>
            <w:r>
              <w:rPr>
                <w:noProof/>
                <w:webHidden/>
              </w:rPr>
              <w:fldChar w:fldCharType="begin"/>
            </w:r>
            <w:r>
              <w:rPr>
                <w:noProof/>
                <w:webHidden/>
              </w:rPr>
              <w:instrText xml:space="preserve"> PAGEREF _Toc215586960 \h </w:instrText>
            </w:r>
            <w:r>
              <w:rPr>
                <w:noProof/>
                <w:webHidden/>
              </w:rPr>
            </w:r>
            <w:r>
              <w:rPr>
                <w:noProof/>
                <w:webHidden/>
              </w:rPr>
              <w:fldChar w:fldCharType="separate"/>
            </w:r>
            <w:r>
              <w:rPr>
                <w:noProof/>
                <w:webHidden/>
              </w:rPr>
              <w:t>2</w:t>
            </w:r>
            <w:r>
              <w:rPr>
                <w:noProof/>
                <w:webHidden/>
              </w:rPr>
              <w:fldChar w:fldCharType="end"/>
            </w:r>
          </w:hyperlink>
        </w:p>
        <w:p w:rsidR="00793859" w:rsidRDefault="00793859" w14:paraId="63701F6E" w14:textId="1DD31A3B">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6961">
            <w:r w:rsidRPr="00AA2E61">
              <w:rPr>
                <w:rStyle w:val="Hyperlink"/>
                <w:noProof/>
              </w:rPr>
              <w:t>Partnership Working</w:t>
            </w:r>
            <w:r>
              <w:rPr>
                <w:noProof/>
                <w:webHidden/>
              </w:rPr>
              <w:tab/>
            </w:r>
            <w:r>
              <w:rPr>
                <w:noProof/>
                <w:webHidden/>
              </w:rPr>
              <w:fldChar w:fldCharType="begin"/>
            </w:r>
            <w:r>
              <w:rPr>
                <w:noProof/>
                <w:webHidden/>
              </w:rPr>
              <w:instrText xml:space="preserve"> PAGEREF _Toc215586961 \h </w:instrText>
            </w:r>
            <w:r>
              <w:rPr>
                <w:noProof/>
                <w:webHidden/>
              </w:rPr>
            </w:r>
            <w:r>
              <w:rPr>
                <w:noProof/>
                <w:webHidden/>
              </w:rPr>
              <w:fldChar w:fldCharType="separate"/>
            </w:r>
            <w:r>
              <w:rPr>
                <w:noProof/>
                <w:webHidden/>
              </w:rPr>
              <w:t>3</w:t>
            </w:r>
            <w:r>
              <w:rPr>
                <w:noProof/>
                <w:webHidden/>
              </w:rPr>
              <w:fldChar w:fldCharType="end"/>
            </w:r>
          </w:hyperlink>
        </w:p>
        <w:p w:rsidR="00793859" w:rsidRDefault="00793859" w14:paraId="5F72B2CC" w14:textId="521F4968">
          <w:pPr>
            <w:pStyle w:val="TOC1"/>
            <w:rPr>
              <w:rFonts w:asciiTheme="minorHAnsi" w:hAnsiTheme="minorHAnsi" w:eastAsiaTheme="minorEastAsia"/>
              <w:noProof/>
              <w:color w:val="auto"/>
              <w:kern w:val="2"/>
              <w:sz w:val="24"/>
              <w:szCs w:val="24"/>
              <w:lang w:eastAsia="en-GB"/>
              <w14:ligatures w14:val="standardContextual"/>
            </w:rPr>
          </w:pPr>
          <w:hyperlink w:history="1" w:anchor="_Toc215586962">
            <w:r w:rsidRPr="00AA2E61">
              <w:rPr>
                <w:rStyle w:val="Hyperlink"/>
                <w:noProof/>
              </w:rPr>
              <w:t>4</w:t>
            </w:r>
            <w:r>
              <w:rPr>
                <w:rFonts w:asciiTheme="minorHAnsi" w:hAnsiTheme="minorHAnsi" w:eastAsiaTheme="minorEastAsia"/>
                <w:noProof/>
                <w:color w:val="auto"/>
                <w:kern w:val="2"/>
                <w:sz w:val="24"/>
                <w:szCs w:val="24"/>
                <w:lang w:eastAsia="en-GB"/>
                <w14:ligatures w14:val="standardContextual"/>
              </w:rPr>
              <w:tab/>
            </w:r>
            <w:r w:rsidRPr="00AA2E61">
              <w:rPr>
                <w:rStyle w:val="Hyperlink"/>
                <w:noProof/>
              </w:rPr>
              <w:t>Monitoring Success</w:t>
            </w:r>
            <w:r>
              <w:rPr>
                <w:noProof/>
                <w:webHidden/>
              </w:rPr>
              <w:tab/>
            </w:r>
            <w:r>
              <w:rPr>
                <w:noProof/>
                <w:webHidden/>
              </w:rPr>
              <w:fldChar w:fldCharType="begin"/>
            </w:r>
            <w:r>
              <w:rPr>
                <w:noProof/>
                <w:webHidden/>
              </w:rPr>
              <w:instrText xml:space="preserve"> PAGEREF _Toc215586962 \h </w:instrText>
            </w:r>
            <w:r>
              <w:rPr>
                <w:noProof/>
                <w:webHidden/>
              </w:rPr>
            </w:r>
            <w:r>
              <w:rPr>
                <w:noProof/>
                <w:webHidden/>
              </w:rPr>
              <w:fldChar w:fldCharType="separate"/>
            </w:r>
            <w:r>
              <w:rPr>
                <w:noProof/>
                <w:webHidden/>
              </w:rPr>
              <w:t>3</w:t>
            </w:r>
            <w:r>
              <w:rPr>
                <w:noProof/>
                <w:webHidden/>
              </w:rPr>
              <w:fldChar w:fldCharType="end"/>
            </w:r>
          </w:hyperlink>
        </w:p>
        <w:p w:rsidR="00793859" w:rsidRDefault="00793859" w14:paraId="4E423545" w14:textId="3937149D">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6963">
            <w:r w:rsidRPr="00AA2E61">
              <w:rPr>
                <w:rStyle w:val="Hyperlink"/>
                <w:noProof/>
              </w:rPr>
              <w:t>Key Performance Indicators (KPIs)</w:t>
            </w:r>
            <w:r>
              <w:rPr>
                <w:noProof/>
                <w:webHidden/>
              </w:rPr>
              <w:tab/>
            </w:r>
            <w:r>
              <w:rPr>
                <w:noProof/>
                <w:webHidden/>
              </w:rPr>
              <w:fldChar w:fldCharType="begin"/>
            </w:r>
            <w:r>
              <w:rPr>
                <w:noProof/>
                <w:webHidden/>
              </w:rPr>
              <w:instrText xml:space="preserve"> PAGEREF _Toc215586963 \h </w:instrText>
            </w:r>
            <w:r>
              <w:rPr>
                <w:noProof/>
                <w:webHidden/>
              </w:rPr>
            </w:r>
            <w:r>
              <w:rPr>
                <w:noProof/>
                <w:webHidden/>
              </w:rPr>
              <w:fldChar w:fldCharType="separate"/>
            </w:r>
            <w:r>
              <w:rPr>
                <w:noProof/>
                <w:webHidden/>
              </w:rPr>
              <w:t>3</w:t>
            </w:r>
            <w:r>
              <w:rPr>
                <w:noProof/>
                <w:webHidden/>
              </w:rPr>
              <w:fldChar w:fldCharType="end"/>
            </w:r>
          </w:hyperlink>
        </w:p>
        <w:p w:rsidR="00793859" w:rsidRDefault="00793859" w14:paraId="5D0266E4" w14:textId="5DE4AB59">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6964">
            <w:r w:rsidRPr="00AA2E61">
              <w:rPr>
                <w:rStyle w:val="Hyperlink"/>
                <w:noProof/>
              </w:rPr>
              <w:t>Partnership Working</w:t>
            </w:r>
            <w:r>
              <w:rPr>
                <w:noProof/>
                <w:webHidden/>
              </w:rPr>
              <w:tab/>
            </w:r>
            <w:r>
              <w:rPr>
                <w:noProof/>
                <w:webHidden/>
              </w:rPr>
              <w:fldChar w:fldCharType="begin"/>
            </w:r>
            <w:r>
              <w:rPr>
                <w:noProof/>
                <w:webHidden/>
              </w:rPr>
              <w:instrText xml:space="preserve"> PAGEREF _Toc215586964 \h </w:instrText>
            </w:r>
            <w:r>
              <w:rPr>
                <w:noProof/>
                <w:webHidden/>
              </w:rPr>
            </w:r>
            <w:r>
              <w:rPr>
                <w:noProof/>
                <w:webHidden/>
              </w:rPr>
              <w:fldChar w:fldCharType="separate"/>
            </w:r>
            <w:r>
              <w:rPr>
                <w:noProof/>
                <w:webHidden/>
              </w:rPr>
              <w:t>3</w:t>
            </w:r>
            <w:r>
              <w:rPr>
                <w:noProof/>
                <w:webHidden/>
              </w:rPr>
              <w:fldChar w:fldCharType="end"/>
            </w:r>
          </w:hyperlink>
        </w:p>
        <w:p w:rsidR="00793859" w:rsidRDefault="00793859" w14:paraId="403215F7" w14:textId="7B684423">
          <w:pPr>
            <w:pStyle w:val="TOC2"/>
            <w:tabs>
              <w:tab w:val="right" w:leader="dot" w:pos="9016"/>
            </w:tabs>
            <w:rPr>
              <w:rFonts w:asciiTheme="minorHAnsi" w:hAnsiTheme="minorHAnsi" w:eastAsiaTheme="minorEastAsia"/>
              <w:noProof/>
              <w:color w:val="auto"/>
              <w:kern w:val="2"/>
              <w:sz w:val="24"/>
              <w:szCs w:val="24"/>
              <w:lang w:eastAsia="en-GB"/>
              <w14:ligatures w14:val="standardContextual"/>
            </w:rPr>
          </w:pPr>
          <w:hyperlink w:history="1" w:anchor="_Toc215586965">
            <w:r w:rsidRPr="00AA2E61">
              <w:rPr>
                <w:rStyle w:val="Hyperlink"/>
                <w:noProof/>
              </w:rPr>
              <w:t>Communication</w:t>
            </w:r>
            <w:r>
              <w:rPr>
                <w:noProof/>
                <w:webHidden/>
              </w:rPr>
              <w:tab/>
            </w:r>
            <w:r>
              <w:rPr>
                <w:noProof/>
                <w:webHidden/>
              </w:rPr>
              <w:fldChar w:fldCharType="begin"/>
            </w:r>
            <w:r>
              <w:rPr>
                <w:noProof/>
                <w:webHidden/>
              </w:rPr>
              <w:instrText xml:space="preserve"> PAGEREF _Toc215586965 \h </w:instrText>
            </w:r>
            <w:r>
              <w:rPr>
                <w:noProof/>
                <w:webHidden/>
              </w:rPr>
            </w:r>
            <w:r>
              <w:rPr>
                <w:noProof/>
                <w:webHidden/>
              </w:rPr>
              <w:fldChar w:fldCharType="separate"/>
            </w:r>
            <w:r>
              <w:rPr>
                <w:noProof/>
                <w:webHidden/>
              </w:rPr>
              <w:t>3</w:t>
            </w:r>
            <w:r>
              <w:rPr>
                <w:noProof/>
                <w:webHidden/>
              </w:rPr>
              <w:fldChar w:fldCharType="end"/>
            </w:r>
          </w:hyperlink>
        </w:p>
        <w:p w:rsidR="00793859" w:rsidRDefault="00793859" w14:paraId="5C81761A" w14:textId="41581038">
          <w:pPr>
            <w:pStyle w:val="TOC1"/>
            <w:rPr>
              <w:rFonts w:asciiTheme="minorHAnsi" w:hAnsiTheme="minorHAnsi" w:eastAsiaTheme="minorEastAsia"/>
              <w:noProof/>
              <w:color w:val="auto"/>
              <w:kern w:val="2"/>
              <w:sz w:val="24"/>
              <w:szCs w:val="24"/>
              <w:lang w:eastAsia="en-GB"/>
              <w14:ligatures w14:val="standardContextual"/>
            </w:rPr>
          </w:pPr>
          <w:hyperlink w:history="1" w:anchor="_Toc215586966">
            <w:r w:rsidRPr="00AA2E61">
              <w:rPr>
                <w:rStyle w:val="Hyperlink"/>
                <w:noProof/>
              </w:rPr>
              <w:t>5</w:t>
            </w:r>
            <w:r>
              <w:rPr>
                <w:rFonts w:asciiTheme="minorHAnsi" w:hAnsiTheme="minorHAnsi" w:eastAsiaTheme="minorEastAsia"/>
                <w:noProof/>
                <w:color w:val="auto"/>
                <w:kern w:val="2"/>
                <w:sz w:val="24"/>
                <w:szCs w:val="24"/>
                <w:lang w:eastAsia="en-GB"/>
                <w14:ligatures w14:val="standardContextual"/>
              </w:rPr>
              <w:tab/>
            </w:r>
            <w:r w:rsidRPr="00AA2E61">
              <w:rPr>
                <w:rStyle w:val="Hyperlink"/>
                <w:noProof/>
              </w:rPr>
              <w:t>Implementation and Governance</w:t>
            </w:r>
            <w:r>
              <w:rPr>
                <w:noProof/>
                <w:webHidden/>
              </w:rPr>
              <w:tab/>
            </w:r>
            <w:r>
              <w:rPr>
                <w:noProof/>
                <w:webHidden/>
              </w:rPr>
              <w:fldChar w:fldCharType="begin"/>
            </w:r>
            <w:r>
              <w:rPr>
                <w:noProof/>
                <w:webHidden/>
              </w:rPr>
              <w:instrText xml:space="preserve"> PAGEREF _Toc215586966 \h </w:instrText>
            </w:r>
            <w:r>
              <w:rPr>
                <w:noProof/>
                <w:webHidden/>
              </w:rPr>
            </w:r>
            <w:r>
              <w:rPr>
                <w:noProof/>
                <w:webHidden/>
              </w:rPr>
              <w:fldChar w:fldCharType="separate"/>
            </w:r>
            <w:r>
              <w:rPr>
                <w:noProof/>
                <w:webHidden/>
              </w:rPr>
              <w:t>4</w:t>
            </w:r>
            <w:r>
              <w:rPr>
                <w:noProof/>
                <w:webHidden/>
              </w:rPr>
              <w:fldChar w:fldCharType="end"/>
            </w:r>
          </w:hyperlink>
        </w:p>
        <w:p w:rsidR="00793859" w:rsidRDefault="00793859" w14:paraId="6D9CA753" w14:textId="5A449AA2">
          <w:pPr>
            <w:pStyle w:val="TOC1"/>
            <w:rPr>
              <w:rFonts w:asciiTheme="minorHAnsi" w:hAnsiTheme="minorHAnsi" w:eastAsiaTheme="minorEastAsia"/>
              <w:noProof/>
              <w:color w:val="auto"/>
              <w:kern w:val="2"/>
              <w:sz w:val="24"/>
              <w:szCs w:val="24"/>
              <w:lang w:eastAsia="en-GB"/>
              <w14:ligatures w14:val="standardContextual"/>
            </w:rPr>
          </w:pPr>
          <w:hyperlink w:history="1" w:anchor="_Toc215586967">
            <w:r w:rsidRPr="00AA2E61">
              <w:rPr>
                <w:rStyle w:val="Hyperlink"/>
                <w:noProof/>
              </w:rPr>
              <w:t>Appendix 1 - Action Plan</w:t>
            </w:r>
            <w:r>
              <w:rPr>
                <w:noProof/>
                <w:webHidden/>
              </w:rPr>
              <w:tab/>
            </w:r>
            <w:r>
              <w:rPr>
                <w:noProof/>
                <w:webHidden/>
              </w:rPr>
              <w:fldChar w:fldCharType="begin"/>
            </w:r>
            <w:r>
              <w:rPr>
                <w:noProof/>
                <w:webHidden/>
              </w:rPr>
              <w:instrText xml:space="preserve"> PAGEREF _Toc215586967 \h </w:instrText>
            </w:r>
            <w:r>
              <w:rPr>
                <w:noProof/>
                <w:webHidden/>
              </w:rPr>
            </w:r>
            <w:r>
              <w:rPr>
                <w:noProof/>
                <w:webHidden/>
              </w:rPr>
              <w:fldChar w:fldCharType="separate"/>
            </w:r>
            <w:r>
              <w:rPr>
                <w:noProof/>
                <w:webHidden/>
              </w:rPr>
              <w:t>5</w:t>
            </w:r>
            <w:r>
              <w:rPr>
                <w:noProof/>
                <w:webHidden/>
              </w:rPr>
              <w:fldChar w:fldCharType="end"/>
            </w:r>
          </w:hyperlink>
        </w:p>
        <w:p w:rsidRPr="00BF6983" w:rsidR="00D937D2" w:rsidP="00D937D2" w:rsidRDefault="00D937D2" w14:paraId="2CFFEFE9" w14:textId="2DCBF9DD">
          <w:pPr>
            <w:pStyle w:val="TOC1"/>
            <w:rPr>
              <w:color w:val="000000" w:themeColor="text1"/>
            </w:rPr>
          </w:pPr>
          <w:r>
            <w:rPr>
              <w:color w:val="000000" w:themeColor="text1"/>
            </w:rPr>
            <w:fldChar w:fldCharType="end"/>
          </w:r>
        </w:p>
      </w:sdtContent>
    </w:sdt>
    <w:p w:rsidR="00D937D2" w:rsidP="00D937D2" w:rsidRDefault="00D937D2" w14:paraId="38BC63C5" w14:textId="77777777">
      <w:pPr>
        <w:sectPr w:rsidR="00D937D2" w:rsidSect="008674F6">
          <w:pgSz w:w="11906" w:h="16838"/>
          <w:pgMar w:top="1440" w:right="1440" w:bottom="1440" w:left="1440" w:header="708" w:footer="708" w:gutter="0"/>
          <w:cols w:space="708"/>
          <w:docGrid w:linePitch="360"/>
        </w:sectPr>
      </w:pPr>
    </w:p>
    <w:p w:rsidRPr="00D937D2" w:rsidR="006C27B4" w:rsidP="00793859" w:rsidRDefault="006C27B4" w14:paraId="18EC3B20" w14:textId="6B280DF1">
      <w:pPr>
        <w:pStyle w:val="Heading1"/>
      </w:pPr>
      <w:bookmarkStart w:name="_Toc215586952" w:id="0"/>
      <w:r w:rsidRPr="00D937D2">
        <w:lastRenderedPageBreak/>
        <w:t>1</w:t>
      </w:r>
      <w:r w:rsidRPr="00D937D2">
        <w:tab/>
        <w:t>Intr</w:t>
      </w:r>
      <w:r w:rsidRPr="00793859">
        <w:t>odu</w:t>
      </w:r>
      <w:r w:rsidRPr="00D937D2">
        <w:t>ction</w:t>
      </w:r>
      <w:bookmarkEnd w:id="0"/>
    </w:p>
    <w:p w:rsidR="00D937D2" w:rsidP="00793859" w:rsidRDefault="00D937D2" w14:paraId="2405E9EE" w14:textId="77777777">
      <w:pPr>
        <w:spacing w:after="0"/>
        <w:rPr>
          <w:rFonts w:ascii="Arial" w:hAnsi="Arial" w:cs="Arial"/>
        </w:rPr>
      </w:pPr>
    </w:p>
    <w:p w:rsidR="006C27B4" w:rsidP="00793859" w:rsidRDefault="006C27B4" w14:paraId="39A4FDB0" w14:textId="7E7D3277">
      <w:pPr>
        <w:spacing w:after="0"/>
        <w:rPr>
          <w:rFonts w:ascii="Arial" w:hAnsi="Arial" w:cs="Arial"/>
        </w:rPr>
      </w:pPr>
      <w:r>
        <w:rPr>
          <w:rFonts w:ascii="Arial" w:hAnsi="Arial" w:cs="Arial"/>
        </w:rPr>
        <w:t xml:space="preserve">The </w:t>
      </w:r>
      <w:r w:rsidR="00B01290">
        <w:rPr>
          <w:rFonts w:ascii="Arial" w:hAnsi="Arial" w:cs="Arial"/>
        </w:rPr>
        <w:t>Private Sector</w:t>
      </w:r>
      <w:r w:rsidR="00533A59">
        <w:rPr>
          <w:rFonts w:ascii="Arial" w:hAnsi="Arial" w:cs="Arial"/>
        </w:rPr>
        <w:t xml:space="preserve"> Housing</w:t>
      </w:r>
      <w:r w:rsidR="00EA4D78">
        <w:rPr>
          <w:rFonts w:ascii="Arial" w:hAnsi="Arial" w:cs="Arial"/>
        </w:rPr>
        <w:t xml:space="preserve"> </w:t>
      </w:r>
      <w:r w:rsidR="001C7238">
        <w:rPr>
          <w:rFonts w:ascii="Arial" w:hAnsi="Arial" w:cs="Arial"/>
        </w:rPr>
        <w:t>Delivery Plan</w:t>
      </w:r>
      <w:r>
        <w:rPr>
          <w:rFonts w:ascii="Arial" w:hAnsi="Arial" w:cs="Arial"/>
        </w:rPr>
        <w:t xml:space="preserve"> (the Plan) sets out </w:t>
      </w:r>
      <w:r w:rsidR="001D5EC0">
        <w:rPr>
          <w:rFonts w:ascii="Arial" w:hAnsi="Arial" w:cs="Arial"/>
        </w:rPr>
        <w:t>Conwy County Borough Council’s</w:t>
      </w:r>
      <w:r>
        <w:rPr>
          <w:rFonts w:ascii="Arial" w:hAnsi="Arial" w:cs="Arial"/>
        </w:rPr>
        <w:t xml:space="preserve"> strategic approach to </w:t>
      </w:r>
      <w:r w:rsidR="00E27F3D">
        <w:rPr>
          <w:rFonts w:ascii="Arial" w:hAnsi="Arial" w:cs="Arial"/>
        </w:rPr>
        <w:t>enhancing</w:t>
      </w:r>
      <w:r w:rsidR="008F7FF4">
        <w:rPr>
          <w:rFonts w:ascii="Arial" w:hAnsi="Arial" w:cs="Arial"/>
        </w:rPr>
        <w:t xml:space="preserve"> the quality of </w:t>
      </w:r>
      <w:r w:rsidR="00B34095">
        <w:rPr>
          <w:rFonts w:ascii="Arial" w:hAnsi="Arial" w:cs="Arial"/>
        </w:rPr>
        <w:t>private sector housing</w:t>
      </w:r>
      <w:r>
        <w:rPr>
          <w:rFonts w:ascii="Arial" w:hAnsi="Arial" w:cs="Arial"/>
        </w:rPr>
        <w:t xml:space="preserve"> </w:t>
      </w:r>
      <w:r w:rsidR="00A70BC3">
        <w:rPr>
          <w:rFonts w:ascii="Arial" w:hAnsi="Arial" w:cs="Arial"/>
        </w:rPr>
        <w:t xml:space="preserve">with a clear focus </w:t>
      </w:r>
      <w:r w:rsidR="008F528B">
        <w:rPr>
          <w:rFonts w:ascii="Arial" w:hAnsi="Arial" w:cs="Arial"/>
        </w:rPr>
        <w:t xml:space="preserve">on </w:t>
      </w:r>
      <w:r w:rsidR="00D31E83">
        <w:rPr>
          <w:rFonts w:ascii="Arial" w:hAnsi="Arial" w:cs="Arial"/>
        </w:rPr>
        <w:t xml:space="preserve">collaboration and </w:t>
      </w:r>
      <w:r w:rsidR="00DA11EB">
        <w:rPr>
          <w:rFonts w:ascii="Arial" w:hAnsi="Arial" w:cs="Arial"/>
        </w:rPr>
        <w:t>proact</w:t>
      </w:r>
      <w:r w:rsidR="00326FA6">
        <w:rPr>
          <w:rFonts w:ascii="Arial" w:hAnsi="Arial" w:cs="Arial"/>
        </w:rPr>
        <w:t>ive intervention</w:t>
      </w:r>
      <w:r w:rsidR="001307BF">
        <w:rPr>
          <w:rFonts w:ascii="Arial" w:hAnsi="Arial" w:cs="Arial"/>
        </w:rPr>
        <w:t>. It supports the delivery of the Local Housing and Homelessness Strategy, with the aim</w:t>
      </w:r>
      <w:r w:rsidR="00326FA6">
        <w:rPr>
          <w:rFonts w:ascii="Arial" w:hAnsi="Arial" w:cs="Arial"/>
        </w:rPr>
        <w:t xml:space="preserve"> to </w:t>
      </w:r>
      <w:r w:rsidR="00A03B1E">
        <w:rPr>
          <w:rFonts w:ascii="Arial" w:hAnsi="Arial" w:cs="Arial"/>
        </w:rPr>
        <w:t xml:space="preserve">increase access to appropriate, safe and good quality homes that meet local housing need.  </w:t>
      </w:r>
    </w:p>
    <w:p w:rsidR="00D937D2" w:rsidP="00793859" w:rsidRDefault="00D937D2" w14:paraId="29FF5768" w14:textId="77777777">
      <w:pPr>
        <w:spacing w:after="0"/>
        <w:rPr>
          <w:rFonts w:ascii="Arial" w:hAnsi="Arial" w:cs="Arial"/>
        </w:rPr>
      </w:pPr>
    </w:p>
    <w:p w:rsidR="006C27B4" w:rsidP="00793859" w:rsidRDefault="006C27B4" w14:paraId="09A51239" w14:textId="11EC1C1E">
      <w:pPr>
        <w:spacing w:after="0"/>
        <w:rPr>
          <w:rFonts w:ascii="Arial" w:hAnsi="Arial" w:cs="Arial"/>
        </w:rPr>
      </w:pPr>
      <w:r>
        <w:rPr>
          <w:rFonts w:ascii="Arial" w:hAnsi="Arial" w:cs="Arial"/>
        </w:rPr>
        <w:t xml:space="preserve">The Plan outlines </w:t>
      </w:r>
      <w:r w:rsidR="008A0F2A">
        <w:rPr>
          <w:rFonts w:ascii="Arial" w:hAnsi="Arial" w:cs="Arial"/>
        </w:rPr>
        <w:t xml:space="preserve">key </w:t>
      </w:r>
      <w:r>
        <w:rPr>
          <w:rFonts w:ascii="Arial" w:hAnsi="Arial" w:cs="Arial"/>
        </w:rPr>
        <w:t xml:space="preserve">objectives </w:t>
      </w:r>
      <w:r w:rsidR="00AF2D2F">
        <w:rPr>
          <w:rFonts w:ascii="Arial" w:hAnsi="Arial" w:cs="Arial"/>
        </w:rPr>
        <w:t>design</w:t>
      </w:r>
      <w:r w:rsidR="007B71B7">
        <w:rPr>
          <w:rFonts w:ascii="Arial" w:hAnsi="Arial" w:cs="Arial"/>
        </w:rPr>
        <w:t>ed</w:t>
      </w:r>
      <w:r w:rsidR="00AF2D2F">
        <w:rPr>
          <w:rFonts w:ascii="Arial" w:hAnsi="Arial" w:cs="Arial"/>
        </w:rPr>
        <w:t xml:space="preserve"> </w:t>
      </w:r>
      <w:r w:rsidR="009B54D5">
        <w:rPr>
          <w:rFonts w:ascii="Arial" w:hAnsi="Arial" w:cs="Arial"/>
        </w:rPr>
        <w:t>to</w:t>
      </w:r>
      <w:r w:rsidRPr="00A03B1E" w:rsidR="00A03B1E">
        <w:rPr>
          <w:rFonts w:ascii="Arial" w:hAnsi="Arial" w:cs="Arial"/>
        </w:rPr>
        <w:t xml:space="preserve"> </w:t>
      </w:r>
      <w:r w:rsidR="00A03B1E">
        <w:rPr>
          <w:rFonts w:ascii="Arial" w:hAnsi="Arial" w:cs="Arial"/>
        </w:rPr>
        <w:t>improve housing standards, preventing homelessness and supporting community well-being.</w:t>
      </w:r>
      <w:r w:rsidR="00866F49">
        <w:rPr>
          <w:rFonts w:ascii="Arial" w:hAnsi="Arial" w:cs="Arial"/>
        </w:rPr>
        <w:t xml:space="preserve"> It focuses on four core </w:t>
      </w:r>
      <w:r w:rsidR="003262BE">
        <w:rPr>
          <w:rFonts w:ascii="Arial" w:hAnsi="Arial" w:cs="Arial"/>
        </w:rPr>
        <w:t>areas:</w:t>
      </w:r>
      <w:r w:rsidR="00C629DC">
        <w:rPr>
          <w:rFonts w:ascii="Arial" w:hAnsi="Arial" w:cs="Arial"/>
        </w:rPr>
        <w:t xml:space="preserve"> Regulatio</w:t>
      </w:r>
      <w:r w:rsidR="004B47FF">
        <w:rPr>
          <w:rFonts w:ascii="Arial" w:hAnsi="Arial" w:cs="Arial"/>
        </w:rPr>
        <w:t>n, Landlords</w:t>
      </w:r>
      <w:r w:rsidR="0010350D">
        <w:rPr>
          <w:rFonts w:ascii="Arial" w:hAnsi="Arial" w:cs="Arial"/>
        </w:rPr>
        <w:t xml:space="preserve">, Adaptations and </w:t>
      </w:r>
      <w:r w:rsidR="00B727B8">
        <w:rPr>
          <w:rFonts w:ascii="Arial" w:hAnsi="Arial" w:cs="Arial"/>
        </w:rPr>
        <w:t xml:space="preserve">Property </w:t>
      </w:r>
      <w:r w:rsidR="00A55410">
        <w:rPr>
          <w:rFonts w:ascii="Arial" w:hAnsi="Arial" w:cs="Arial"/>
        </w:rPr>
        <w:t>C</w:t>
      </w:r>
      <w:r w:rsidR="00B727B8">
        <w:rPr>
          <w:rFonts w:ascii="Arial" w:hAnsi="Arial" w:cs="Arial"/>
        </w:rPr>
        <w:t xml:space="preserve">onditions. </w:t>
      </w:r>
      <w:r w:rsidR="009D7D0A">
        <w:rPr>
          <w:rFonts w:ascii="Arial" w:hAnsi="Arial" w:cs="Arial"/>
        </w:rPr>
        <w:t xml:space="preserve">Each area represents a key stakeholder group with unique challenges and opportunities. </w:t>
      </w:r>
      <w:r w:rsidR="006A30B9">
        <w:rPr>
          <w:rFonts w:ascii="Arial" w:hAnsi="Arial" w:cs="Arial"/>
        </w:rPr>
        <w:t>The Plan</w:t>
      </w:r>
      <w:r>
        <w:rPr>
          <w:rFonts w:ascii="Arial" w:hAnsi="Arial" w:cs="Arial"/>
        </w:rPr>
        <w:t xml:space="preserve"> is designed to be a dynamic document, reviewed and updated annually to reflect progress, emerging challenges and evolving policy and legislation. </w:t>
      </w:r>
    </w:p>
    <w:p w:rsidR="00D937D2" w:rsidP="00793859" w:rsidRDefault="00D937D2" w14:paraId="120E0E6C" w14:textId="77777777">
      <w:pPr>
        <w:spacing w:after="0"/>
        <w:rPr>
          <w:rFonts w:ascii="Arial" w:hAnsi="Arial" w:cs="Arial"/>
        </w:rPr>
      </w:pPr>
    </w:p>
    <w:p w:rsidR="00CF260F" w:rsidP="00793859" w:rsidRDefault="00CF260F" w14:paraId="64974FAF" w14:textId="43C90693">
      <w:pPr>
        <w:spacing w:after="0"/>
        <w:rPr>
          <w:rFonts w:ascii="Arial" w:hAnsi="Arial" w:cs="Arial"/>
        </w:rPr>
      </w:pPr>
      <w:r>
        <w:rPr>
          <w:rFonts w:ascii="Arial" w:hAnsi="Arial" w:cs="Arial"/>
        </w:rPr>
        <w:t xml:space="preserve">While the Plan supports </w:t>
      </w:r>
      <w:r w:rsidR="003A355E">
        <w:rPr>
          <w:rFonts w:ascii="Arial" w:hAnsi="Arial" w:cs="Arial"/>
        </w:rPr>
        <w:t>improvements across the private sector, it does not address the issue of empty properties, as this is covered separately within the Empty Homes Delivery Plan. This ensures that</w:t>
      </w:r>
      <w:r w:rsidR="00CE45EE">
        <w:rPr>
          <w:rFonts w:ascii="Arial" w:hAnsi="Arial" w:cs="Arial"/>
        </w:rPr>
        <w:t xml:space="preserve"> each plan remains focused on </w:t>
      </w:r>
      <w:r w:rsidR="00D52095">
        <w:rPr>
          <w:rFonts w:ascii="Arial" w:hAnsi="Arial" w:cs="Arial"/>
        </w:rPr>
        <w:t>its</w:t>
      </w:r>
      <w:r w:rsidR="00CE45EE">
        <w:rPr>
          <w:rFonts w:ascii="Arial" w:hAnsi="Arial" w:cs="Arial"/>
        </w:rPr>
        <w:t xml:space="preserve"> specific strategic purpose</w:t>
      </w:r>
      <w:r w:rsidR="009005AF">
        <w:rPr>
          <w:rFonts w:ascii="Arial" w:hAnsi="Arial" w:cs="Arial"/>
        </w:rPr>
        <w:t>.</w:t>
      </w:r>
    </w:p>
    <w:p w:rsidR="00D937D2" w:rsidP="00793859" w:rsidRDefault="00D937D2" w14:paraId="42901A84" w14:textId="77777777">
      <w:pPr>
        <w:spacing w:after="0"/>
        <w:rPr>
          <w:rFonts w:ascii="Arial" w:hAnsi="Arial" w:cs="Arial"/>
        </w:rPr>
      </w:pPr>
    </w:p>
    <w:p w:rsidR="006C27B4" w:rsidP="00793859" w:rsidRDefault="006C27B4" w14:paraId="75D95C48" w14:textId="5CD186EE">
      <w:pPr>
        <w:spacing w:after="0"/>
        <w:rPr>
          <w:rFonts w:ascii="Arial" w:hAnsi="Arial" w:cs="Arial"/>
        </w:rPr>
      </w:pPr>
      <w:r>
        <w:rPr>
          <w:rFonts w:ascii="Arial" w:hAnsi="Arial" w:cs="Arial"/>
        </w:rPr>
        <w:t xml:space="preserve">The Action Plan in </w:t>
      </w:r>
      <w:r w:rsidR="00D937D2">
        <w:rPr>
          <w:rFonts w:ascii="Arial" w:hAnsi="Arial" w:cs="Arial"/>
        </w:rPr>
        <w:t>A</w:t>
      </w:r>
      <w:r>
        <w:rPr>
          <w:rFonts w:ascii="Arial" w:hAnsi="Arial" w:cs="Arial"/>
        </w:rPr>
        <w:t xml:space="preserve">ppendix 1 provides the detailed steps that will be taken to implement the </w:t>
      </w:r>
      <w:r w:rsidR="0072258F">
        <w:rPr>
          <w:rFonts w:ascii="Arial" w:hAnsi="Arial" w:cs="Arial"/>
        </w:rPr>
        <w:t xml:space="preserve">Private Sector Housing </w:t>
      </w:r>
      <w:r w:rsidR="001C7238">
        <w:rPr>
          <w:rFonts w:ascii="Arial" w:hAnsi="Arial" w:cs="Arial"/>
        </w:rPr>
        <w:t>Delivery Plan</w:t>
      </w:r>
      <w:r>
        <w:rPr>
          <w:rFonts w:ascii="Arial" w:hAnsi="Arial" w:cs="Arial"/>
        </w:rPr>
        <w:t xml:space="preserve">. It outlines activities, responsible officers, timescales and expected outcomes for </w:t>
      </w:r>
      <w:r w:rsidR="00FA238E">
        <w:rPr>
          <w:rFonts w:ascii="Arial" w:hAnsi="Arial" w:cs="Arial"/>
        </w:rPr>
        <w:t>each of the four focus areas</w:t>
      </w:r>
      <w:r>
        <w:rPr>
          <w:rFonts w:ascii="Arial" w:hAnsi="Arial" w:cs="Arial"/>
        </w:rPr>
        <w:t>. The Action Plan serves as a practical tool to guide delivery, monitor progress and ensure accountability across all areas of work.</w:t>
      </w:r>
    </w:p>
    <w:p w:rsidR="00D937D2" w:rsidP="00793859" w:rsidRDefault="00D937D2" w14:paraId="3C5ABDC2" w14:textId="77777777">
      <w:pPr>
        <w:spacing w:after="0"/>
        <w:rPr>
          <w:rFonts w:ascii="Arial" w:hAnsi="Arial" w:cs="Arial"/>
          <w:b/>
          <w:bCs/>
        </w:rPr>
      </w:pPr>
    </w:p>
    <w:p w:rsidR="006C27B4" w:rsidP="00793859" w:rsidRDefault="00B03CFA" w14:paraId="30FA99D5" w14:textId="404BF09E">
      <w:pPr>
        <w:pStyle w:val="Heading1"/>
      </w:pPr>
      <w:bookmarkStart w:name="_Toc215586953" w:id="1"/>
      <w:r w:rsidRPr="00B03CFA">
        <w:t>2</w:t>
      </w:r>
      <w:r w:rsidRPr="00B03CFA">
        <w:tab/>
        <w:t>Core Objectives by Focus Area</w:t>
      </w:r>
      <w:bookmarkEnd w:id="1"/>
    </w:p>
    <w:p w:rsidR="00D937D2" w:rsidP="00793859" w:rsidRDefault="00D937D2" w14:paraId="13C77142" w14:textId="77777777">
      <w:pPr>
        <w:spacing w:after="0"/>
        <w:rPr>
          <w:rFonts w:ascii="Arial" w:hAnsi="Arial" w:cs="Arial"/>
          <w:b/>
          <w:bCs/>
        </w:rPr>
      </w:pPr>
    </w:p>
    <w:p w:rsidRPr="00D937D2" w:rsidR="00B03CFA" w:rsidP="00793859" w:rsidRDefault="002A2F21" w14:paraId="7C4F3886" w14:textId="002E8596">
      <w:pPr>
        <w:pStyle w:val="Heading2"/>
      </w:pPr>
      <w:bookmarkStart w:name="_Toc215586954" w:id="2"/>
      <w:r w:rsidRPr="00D937D2">
        <w:t>Focus are</w:t>
      </w:r>
      <w:r w:rsidRPr="00793859">
        <w:t xml:space="preserve">a 1: </w:t>
      </w:r>
      <w:r w:rsidRPr="00793859" w:rsidR="004C0719">
        <w:t>Regulation</w:t>
      </w:r>
      <w:bookmarkEnd w:id="2"/>
    </w:p>
    <w:p w:rsidR="00D937D2" w:rsidP="00793859" w:rsidRDefault="00D937D2" w14:paraId="64E6B1F7" w14:textId="77777777">
      <w:pPr>
        <w:spacing w:after="0"/>
        <w:rPr>
          <w:rFonts w:ascii="Arial" w:hAnsi="Arial" w:cs="Arial"/>
          <w:i/>
          <w:iCs/>
        </w:rPr>
      </w:pPr>
    </w:p>
    <w:p w:rsidR="00BA3149" w:rsidP="00793859" w:rsidRDefault="00BA3149" w14:paraId="53EC3498" w14:textId="6550B96F">
      <w:pPr>
        <w:spacing w:after="0"/>
        <w:rPr>
          <w:rFonts w:ascii="Arial" w:hAnsi="Arial" w:cs="Arial"/>
          <w:i/>
          <w:iCs/>
        </w:rPr>
      </w:pPr>
      <w:r w:rsidRPr="008866D6">
        <w:rPr>
          <w:rFonts w:ascii="Arial" w:hAnsi="Arial" w:cs="Arial"/>
          <w:i/>
          <w:iCs/>
        </w:rPr>
        <w:t>Objective:</w:t>
      </w:r>
      <w:r w:rsidRPr="00BA3149">
        <w:rPr>
          <w:rFonts w:ascii="Arial" w:hAnsi="Arial" w:cs="Arial"/>
          <w:i/>
          <w:iCs/>
        </w:rPr>
        <w:t xml:space="preserve"> </w:t>
      </w:r>
      <w:r w:rsidR="00E35A51">
        <w:rPr>
          <w:rFonts w:ascii="Arial" w:hAnsi="Arial" w:cs="Arial"/>
          <w:i/>
          <w:iCs/>
        </w:rPr>
        <w:t>Enhance the regulation and enforcement of the private rented sector</w:t>
      </w:r>
      <w:r w:rsidR="00521114">
        <w:rPr>
          <w:rFonts w:ascii="Arial" w:hAnsi="Arial" w:cs="Arial"/>
          <w:i/>
          <w:iCs/>
        </w:rPr>
        <w:t xml:space="preserve"> in line with the Housing (Wales) Act 2014 and the Rent Smart Wales framework, by ensuring that all landlords and agents are </w:t>
      </w:r>
      <w:r w:rsidR="00495202">
        <w:rPr>
          <w:rFonts w:ascii="Arial" w:hAnsi="Arial" w:cs="Arial"/>
          <w:i/>
          <w:iCs/>
        </w:rPr>
        <w:t>appropriately</w:t>
      </w:r>
      <w:r w:rsidR="00521114">
        <w:rPr>
          <w:rFonts w:ascii="Arial" w:hAnsi="Arial" w:cs="Arial"/>
          <w:i/>
          <w:iCs/>
        </w:rPr>
        <w:t xml:space="preserve"> registered and licensed </w:t>
      </w:r>
      <w:r w:rsidR="00355D5E">
        <w:rPr>
          <w:rFonts w:ascii="Arial" w:hAnsi="Arial" w:cs="Arial"/>
          <w:i/>
          <w:iCs/>
        </w:rPr>
        <w:t>to safeguard tenant rights and improve housing standards across Conwy</w:t>
      </w:r>
    </w:p>
    <w:p w:rsidR="00D937D2" w:rsidP="00793859" w:rsidRDefault="00D937D2" w14:paraId="018D5326" w14:textId="77777777">
      <w:pPr>
        <w:spacing w:after="0"/>
        <w:rPr>
          <w:rFonts w:ascii="Arial" w:hAnsi="Arial" w:cs="Arial"/>
        </w:rPr>
      </w:pPr>
    </w:p>
    <w:p w:rsidR="000B04A4" w:rsidP="00793859" w:rsidRDefault="00CB5E37" w14:paraId="41D7CC1F" w14:textId="01465090">
      <w:pPr>
        <w:spacing w:after="0"/>
        <w:rPr>
          <w:rFonts w:ascii="Arial" w:hAnsi="Arial" w:cs="Arial"/>
        </w:rPr>
      </w:pPr>
      <w:r>
        <w:rPr>
          <w:rFonts w:ascii="Arial" w:hAnsi="Arial" w:cs="Arial"/>
        </w:rPr>
        <w:t xml:space="preserve">The </w:t>
      </w:r>
      <w:r w:rsidR="006662A9">
        <w:rPr>
          <w:rFonts w:ascii="Arial" w:hAnsi="Arial" w:cs="Arial"/>
        </w:rPr>
        <w:t>2025</w:t>
      </w:r>
      <w:r w:rsidR="007A65A0">
        <w:rPr>
          <w:rFonts w:ascii="Arial" w:hAnsi="Arial" w:cs="Arial"/>
        </w:rPr>
        <w:t xml:space="preserve"> Local Housing Market Assessment </w:t>
      </w:r>
      <w:r w:rsidRPr="002429F2" w:rsidR="002429F2">
        <w:rPr>
          <w:rFonts w:ascii="Arial" w:hAnsi="Arial" w:cs="Arial"/>
        </w:rPr>
        <w:t>(</w:t>
      </w:r>
      <w:hyperlink w:history="1" r:id="rId9">
        <w:r w:rsidRPr="00793859" w:rsidR="00CD4F45">
          <w:rPr>
            <w:rFonts w:ascii="Arial" w:hAnsi="Arial" w:cs="Arial"/>
            <w:b/>
            <w:bCs/>
            <w:i/>
            <w:iCs/>
            <w:color w:val="1BAF90"/>
            <w:u w:val="single"/>
          </w:rPr>
          <w:t>Housing policies, plans and strategies: Local Housing Market Assessment - Conwy County Borough Council</w:t>
        </w:r>
      </w:hyperlink>
      <w:r w:rsidRPr="002429F2" w:rsidR="002429F2">
        <w:rPr>
          <w:rFonts w:ascii="Arial" w:hAnsi="Arial" w:cs="Arial"/>
        </w:rPr>
        <w:t>)</w:t>
      </w:r>
      <w:r w:rsidR="00CD4F45">
        <w:rPr>
          <w:rFonts w:ascii="Arial" w:hAnsi="Arial" w:cs="Arial"/>
        </w:rPr>
        <w:t xml:space="preserve"> </w:t>
      </w:r>
      <w:r w:rsidR="00834053">
        <w:rPr>
          <w:rFonts w:ascii="Arial" w:hAnsi="Arial" w:cs="Arial"/>
        </w:rPr>
        <w:t>has identified</w:t>
      </w:r>
      <w:r w:rsidR="00633B01">
        <w:rPr>
          <w:rFonts w:ascii="Arial" w:hAnsi="Arial" w:cs="Arial"/>
        </w:rPr>
        <w:t xml:space="preserve"> a high demand for pri</w:t>
      </w:r>
      <w:r w:rsidR="00D10E4A">
        <w:rPr>
          <w:rFonts w:ascii="Arial" w:hAnsi="Arial" w:cs="Arial"/>
        </w:rPr>
        <w:t xml:space="preserve">vate rented </w:t>
      </w:r>
      <w:r w:rsidR="00184F2B">
        <w:rPr>
          <w:rFonts w:ascii="Arial" w:hAnsi="Arial" w:cs="Arial"/>
        </w:rPr>
        <w:t xml:space="preserve">sector </w:t>
      </w:r>
      <w:r w:rsidR="003E67E2">
        <w:rPr>
          <w:rFonts w:ascii="Arial" w:hAnsi="Arial" w:cs="Arial"/>
        </w:rPr>
        <w:t>housing</w:t>
      </w:r>
      <w:r w:rsidR="00D10E4A">
        <w:rPr>
          <w:rFonts w:ascii="Arial" w:hAnsi="Arial" w:cs="Arial"/>
        </w:rPr>
        <w:t xml:space="preserve"> in Conwy </w:t>
      </w:r>
      <w:r w:rsidR="00564B03">
        <w:rPr>
          <w:rFonts w:ascii="Arial" w:hAnsi="Arial" w:cs="Arial"/>
        </w:rPr>
        <w:t xml:space="preserve">due to </w:t>
      </w:r>
      <w:r w:rsidR="0006767C">
        <w:rPr>
          <w:rFonts w:ascii="Arial" w:hAnsi="Arial" w:cs="Arial"/>
        </w:rPr>
        <w:t>factors</w:t>
      </w:r>
      <w:r w:rsidR="00564B03">
        <w:rPr>
          <w:rFonts w:ascii="Arial" w:hAnsi="Arial" w:cs="Arial"/>
        </w:rPr>
        <w:t xml:space="preserve"> such as low supply of social rent</w:t>
      </w:r>
      <w:r w:rsidR="00C65732">
        <w:rPr>
          <w:rFonts w:ascii="Arial" w:hAnsi="Arial" w:cs="Arial"/>
        </w:rPr>
        <w:t>ed</w:t>
      </w:r>
      <w:r w:rsidR="00564B03">
        <w:rPr>
          <w:rFonts w:ascii="Arial" w:hAnsi="Arial" w:cs="Arial"/>
        </w:rPr>
        <w:t xml:space="preserve"> </w:t>
      </w:r>
      <w:r w:rsidR="00C65732">
        <w:rPr>
          <w:rFonts w:ascii="Arial" w:hAnsi="Arial" w:cs="Arial"/>
        </w:rPr>
        <w:t>housing</w:t>
      </w:r>
      <w:r w:rsidR="00564B03">
        <w:rPr>
          <w:rFonts w:ascii="Arial" w:hAnsi="Arial" w:cs="Arial"/>
        </w:rPr>
        <w:t xml:space="preserve"> and </w:t>
      </w:r>
      <w:r w:rsidR="009569DA">
        <w:rPr>
          <w:rFonts w:ascii="Arial" w:hAnsi="Arial" w:cs="Arial"/>
        </w:rPr>
        <w:t xml:space="preserve">homeownership being unaffordable for many. Unfortunately, </w:t>
      </w:r>
      <w:r w:rsidR="00A64C42">
        <w:rPr>
          <w:rFonts w:ascii="Arial" w:hAnsi="Arial" w:cs="Arial"/>
        </w:rPr>
        <w:t>a</w:t>
      </w:r>
      <w:r w:rsidR="009569DA">
        <w:rPr>
          <w:rFonts w:ascii="Arial" w:hAnsi="Arial" w:cs="Arial"/>
        </w:rPr>
        <w:t xml:space="preserve"> high</w:t>
      </w:r>
      <w:r w:rsidR="00642CAC">
        <w:rPr>
          <w:rFonts w:ascii="Arial" w:hAnsi="Arial" w:cs="Arial"/>
        </w:rPr>
        <w:t xml:space="preserve"> portion of </w:t>
      </w:r>
      <w:r w:rsidR="006C5B7A">
        <w:rPr>
          <w:rFonts w:ascii="Arial" w:hAnsi="Arial" w:cs="Arial"/>
        </w:rPr>
        <w:t xml:space="preserve">the private </w:t>
      </w:r>
      <w:r w:rsidR="002D1BD3">
        <w:rPr>
          <w:rFonts w:ascii="Arial" w:hAnsi="Arial" w:cs="Arial"/>
        </w:rPr>
        <w:t xml:space="preserve">rented </w:t>
      </w:r>
      <w:r w:rsidR="007E18E6">
        <w:rPr>
          <w:rFonts w:ascii="Arial" w:hAnsi="Arial" w:cs="Arial"/>
        </w:rPr>
        <w:t>sector</w:t>
      </w:r>
      <w:r w:rsidR="002D1BD3">
        <w:rPr>
          <w:rFonts w:ascii="Arial" w:hAnsi="Arial" w:cs="Arial"/>
        </w:rPr>
        <w:t xml:space="preserve"> housing is</w:t>
      </w:r>
      <w:r w:rsidR="007E18E6">
        <w:rPr>
          <w:rFonts w:ascii="Arial" w:hAnsi="Arial" w:cs="Arial"/>
        </w:rPr>
        <w:t xml:space="preserve"> </w:t>
      </w:r>
      <w:r w:rsidR="00A2102D">
        <w:rPr>
          <w:rFonts w:ascii="Arial" w:hAnsi="Arial" w:cs="Arial"/>
        </w:rPr>
        <w:t>in poor condition</w:t>
      </w:r>
      <w:r w:rsidR="00934A67">
        <w:rPr>
          <w:rFonts w:ascii="Arial" w:hAnsi="Arial" w:cs="Arial"/>
        </w:rPr>
        <w:t xml:space="preserve"> with</w:t>
      </w:r>
      <w:r w:rsidR="002D1BD3">
        <w:rPr>
          <w:rFonts w:ascii="Arial" w:hAnsi="Arial" w:cs="Arial"/>
        </w:rPr>
        <w:t xml:space="preserve"> many properties </w:t>
      </w:r>
      <w:r w:rsidR="00FA35D8">
        <w:rPr>
          <w:rFonts w:ascii="Arial" w:hAnsi="Arial" w:cs="Arial"/>
        </w:rPr>
        <w:t xml:space="preserve">failing to meet </w:t>
      </w:r>
      <w:r w:rsidR="00CD46F9">
        <w:rPr>
          <w:rFonts w:ascii="Arial" w:hAnsi="Arial" w:cs="Arial"/>
        </w:rPr>
        <w:t xml:space="preserve">the minimum energy efficient </w:t>
      </w:r>
      <w:r w:rsidR="00A64C42">
        <w:rPr>
          <w:rFonts w:ascii="Arial" w:hAnsi="Arial" w:cs="Arial"/>
        </w:rPr>
        <w:t>standards.</w:t>
      </w:r>
      <w:r w:rsidR="00934A67">
        <w:rPr>
          <w:rFonts w:ascii="Arial" w:hAnsi="Arial" w:cs="Arial"/>
        </w:rPr>
        <w:t xml:space="preserve"> </w:t>
      </w:r>
    </w:p>
    <w:p w:rsidR="00D937D2" w:rsidP="00793859" w:rsidRDefault="00D937D2" w14:paraId="244702C1" w14:textId="77777777">
      <w:pPr>
        <w:spacing w:after="0"/>
        <w:rPr>
          <w:rFonts w:ascii="Arial" w:hAnsi="Arial" w:cs="Arial"/>
        </w:rPr>
      </w:pPr>
    </w:p>
    <w:p w:rsidRPr="00277B9E" w:rsidR="00600DC5" w:rsidP="00793859" w:rsidRDefault="00600DC5" w14:paraId="64406C1F" w14:textId="25BB7A13">
      <w:pPr>
        <w:spacing w:after="0"/>
        <w:rPr>
          <w:rFonts w:ascii="Arial" w:hAnsi="Arial" w:cs="Arial"/>
        </w:rPr>
      </w:pPr>
      <w:r>
        <w:rPr>
          <w:rFonts w:ascii="Arial" w:hAnsi="Arial" w:cs="Arial"/>
        </w:rPr>
        <w:t>This area will focus on partnership working arrangements to</w:t>
      </w:r>
      <w:r w:rsidRPr="005A232F" w:rsidR="005A232F">
        <w:rPr>
          <w:rFonts w:ascii="Arial" w:hAnsi="Arial" w:cs="Arial"/>
          <w:i/>
          <w:iCs/>
        </w:rPr>
        <w:t xml:space="preserve"> </w:t>
      </w:r>
      <w:r w:rsidRPr="00D57C48" w:rsidR="005A232F">
        <w:rPr>
          <w:rFonts w:ascii="Arial" w:hAnsi="Arial" w:cs="Arial"/>
        </w:rPr>
        <w:t xml:space="preserve">promoting compliance through education and </w:t>
      </w:r>
      <w:r w:rsidRPr="00D57C48" w:rsidR="00897136">
        <w:rPr>
          <w:rFonts w:ascii="Arial" w:hAnsi="Arial" w:cs="Arial"/>
        </w:rPr>
        <w:t>support and</w:t>
      </w:r>
      <w:r w:rsidRPr="00D57C48" w:rsidR="005A232F">
        <w:rPr>
          <w:rFonts w:ascii="Arial" w:hAnsi="Arial" w:cs="Arial"/>
        </w:rPr>
        <w:t xml:space="preserve"> taking proportionate enforcement action against non-compliance</w:t>
      </w:r>
      <w:r w:rsidR="00D57C48">
        <w:rPr>
          <w:rFonts w:ascii="Arial" w:hAnsi="Arial" w:cs="Arial"/>
        </w:rPr>
        <w:t xml:space="preserve">. </w:t>
      </w:r>
    </w:p>
    <w:p w:rsidR="00D937D2" w:rsidP="00793859" w:rsidRDefault="00D937D2" w14:paraId="121D1DA8" w14:textId="77777777">
      <w:pPr>
        <w:spacing w:after="0"/>
        <w:rPr>
          <w:rFonts w:ascii="Arial" w:hAnsi="Arial" w:cs="Arial"/>
          <w:b/>
          <w:bCs/>
        </w:rPr>
      </w:pPr>
    </w:p>
    <w:p w:rsidR="00B03CFA" w:rsidP="00793859" w:rsidRDefault="002A2F21" w14:paraId="74717A31" w14:textId="53417B1E">
      <w:pPr>
        <w:pStyle w:val="Heading2"/>
      </w:pPr>
      <w:bookmarkStart w:name="_Toc215586955" w:id="3"/>
      <w:r>
        <w:t xml:space="preserve">Focus area 2: </w:t>
      </w:r>
      <w:r w:rsidR="004C0719">
        <w:t>Landlords</w:t>
      </w:r>
      <w:bookmarkEnd w:id="3"/>
    </w:p>
    <w:p w:rsidR="00D937D2" w:rsidP="00793859" w:rsidRDefault="00D937D2" w14:paraId="73CBB659" w14:textId="77777777">
      <w:pPr>
        <w:spacing w:after="0"/>
        <w:rPr>
          <w:rFonts w:ascii="Arial" w:hAnsi="Arial" w:cs="Arial"/>
          <w:i/>
          <w:iCs/>
        </w:rPr>
      </w:pPr>
    </w:p>
    <w:p w:rsidR="00BA3149" w:rsidP="00793859" w:rsidRDefault="00BA3149" w14:paraId="1A92F404" w14:textId="02077979">
      <w:pPr>
        <w:spacing w:after="0"/>
        <w:rPr>
          <w:rFonts w:ascii="Arial" w:hAnsi="Arial" w:cs="Arial"/>
          <w:i/>
          <w:iCs/>
        </w:rPr>
      </w:pPr>
      <w:r w:rsidRPr="008866D6">
        <w:rPr>
          <w:rFonts w:ascii="Arial" w:hAnsi="Arial" w:cs="Arial"/>
          <w:i/>
          <w:iCs/>
        </w:rPr>
        <w:t>Objective:</w:t>
      </w:r>
      <w:r w:rsidRPr="00BA3149">
        <w:rPr>
          <w:rFonts w:ascii="Arial" w:hAnsi="Arial" w:cs="Arial"/>
          <w:i/>
          <w:iCs/>
        </w:rPr>
        <w:t xml:space="preserve"> </w:t>
      </w:r>
      <w:r w:rsidR="00DB4EAE">
        <w:rPr>
          <w:rFonts w:ascii="Arial" w:hAnsi="Arial" w:cs="Arial"/>
          <w:i/>
          <w:iCs/>
        </w:rPr>
        <w:t>Strengthen communication and support for private landlords and letting agents</w:t>
      </w:r>
      <w:r w:rsidR="00225451">
        <w:rPr>
          <w:rFonts w:ascii="Arial" w:hAnsi="Arial" w:cs="Arial"/>
          <w:i/>
          <w:iCs/>
        </w:rPr>
        <w:t xml:space="preserve"> utilising a variety of accessible channels </w:t>
      </w:r>
    </w:p>
    <w:p w:rsidR="00D937D2" w:rsidP="00793859" w:rsidRDefault="00D937D2" w14:paraId="7764AD67" w14:textId="77777777">
      <w:pPr>
        <w:spacing w:after="0"/>
        <w:rPr>
          <w:rFonts w:ascii="Arial" w:hAnsi="Arial" w:cs="Arial"/>
        </w:rPr>
      </w:pPr>
    </w:p>
    <w:p w:rsidR="00CE2B50" w:rsidP="00793859" w:rsidRDefault="003D61E0" w14:paraId="1373FA1B" w14:textId="691F78A8">
      <w:pPr>
        <w:spacing w:after="0"/>
        <w:rPr>
          <w:rFonts w:ascii="Arial" w:hAnsi="Arial" w:cs="Arial"/>
        </w:rPr>
      </w:pPr>
      <w:r>
        <w:rPr>
          <w:rFonts w:ascii="Arial" w:hAnsi="Arial" w:cs="Arial"/>
        </w:rPr>
        <w:lastRenderedPageBreak/>
        <w:t>The</w:t>
      </w:r>
      <w:r w:rsidR="00AA01DD">
        <w:rPr>
          <w:rFonts w:ascii="Arial" w:hAnsi="Arial" w:cs="Arial"/>
        </w:rPr>
        <w:t xml:space="preserve"> i</w:t>
      </w:r>
      <w:r w:rsidR="006B0408">
        <w:rPr>
          <w:rFonts w:ascii="Arial" w:hAnsi="Arial" w:cs="Arial"/>
        </w:rPr>
        <w:t>ntroduction</w:t>
      </w:r>
      <w:r w:rsidR="00AA01DD">
        <w:rPr>
          <w:rFonts w:ascii="Arial" w:hAnsi="Arial" w:cs="Arial"/>
        </w:rPr>
        <w:t xml:space="preserve"> of the </w:t>
      </w:r>
      <w:r w:rsidR="006B0408">
        <w:rPr>
          <w:rFonts w:ascii="Arial" w:hAnsi="Arial" w:cs="Arial"/>
        </w:rPr>
        <w:t>Housing</w:t>
      </w:r>
      <w:r w:rsidR="00AA01DD">
        <w:rPr>
          <w:rFonts w:ascii="Arial" w:hAnsi="Arial" w:cs="Arial"/>
        </w:rPr>
        <w:t xml:space="preserve"> (Wales) Act 2014, Renting Homes (Wales) Act 2016 and Rent Smart Wales lic</w:t>
      </w:r>
      <w:r w:rsidR="006B0408">
        <w:rPr>
          <w:rFonts w:ascii="Arial" w:hAnsi="Arial" w:cs="Arial"/>
        </w:rPr>
        <w:t xml:space="preserve">ensing, </w:t>
      </w:r>
      <w:r>
        <w:rPr>
          <w:rFonts w:ascii="Arial" w:hAnsi="Arial" w:cs="Arial"/>
        </w:rPr>
        <w:t>has increase</w:t>
      </w:r>
      <w:r w:rsidR="00BD4CE0">
        <w:rPr>
          <w:rFonts w:ascii="Arial" w:hAnsi="Arial" w:cs="Arial"/>
        </w:rPr>
        <w:t>d</w:t>
      </w:r>
      <w:r w:rsidR="00DE7B77">
        <w:rPr>
          <w:rFonts w:ascii="Arial" w:hAnsi="Arial" w:cs="Arial"/>
        </w:rPr>
        <w:t xml:space="preserve"> the</w:t>
      </w:r>
      <w:r>
        <w:rPr>
          <w:rFonts w:ascii="Arial" w:hAnsi="Arial" w:cs="Arial"/>
        </w:rPr>
        <w:t xml:space="preserve"> </w:t>
      </w:r>
      <w:r w:rsidR="00EF75CC">
        <w:rPr>
          <w:rFonts w:ascii="Arial" w:hAnsi="Arial" w:cs="Arial"/>
        </w:rPr>
        <w:t>responsibilities</w:t>
      </w:r>
      <w:r w:rsidR="00D23696">
        <w:rPr>
          <w:rFonts w:ascii="Arial" w:hAnsi="Arial" w:cs="Arial"/>
        </w:rPr>
        <w:t xml:space="preserve"> </w:t>
      </w:r>
      <w:r w:rsidR="00DE7B77">
        <w:rPr>
          <w:rFonts w:ascii="Arial" w:hAnsi="Arial" w:cs="Arial"/>
        </w:rPr>
        <w:t>placed on</w:t>
      </w:r>
      <w:r w:rsidR="00D23696">
        <w:rPr>
          <w:rFonts w:ascii="Arial" w:hAnsi="Arial" w:cs="Arial"/>
        </w:rPr>
        <w:t xml:space="preserve"> landlords. </w:t>
      </w:r>
      <w:r w:rsidR="00DE7B77">
        <w:rPr>
          <w:rFonts w:ascii="Arial" w:hAnsi="Arial" w:cs="Arial"/>
        </w:rPr>
        <w:t>For some, particularly those with limited experience or resources, navigating these com</w:t>
      </w:r>
      <w:r w:rsidR="00E756A1">
        <w:rPr>
          <w:rFonts w:ascii="Arial" w:hAnsi="Arial" w:cs="Arial"/>
        </w:rPr>
        <w:t>plex requirements</w:t>
      </w:r>
      <w:r w:rsidR="00946F87">
        <w:rPr>
          <w:rFonts w:ascii="Arial" w:hAnsi="Arial" w:cs="Arial"/>
        </w:rPr>
        <w:t xml:space="preserve"> can </w:t>
      </w:r>
      <w:r w:rsidR="008D573E">
        <w:rPr>
          <w:rFonts w:ascii="Arial" w:hAnsi="Arial" w:cs="Arial"/>
        </w:rPr>
        <w:t>be overwhelming</w:t>
      </w:r>
      <w:r w:rsidR="00E756A1">
        <w:rPr>
          <w:rFonts w:ascii="Arial" w:hAnsi="Arial" w:cs="Arial"/>
        </w:rPr>
        <w:t xml:space="preserve">, highlighting a need </w:t>
      </w:r>
      <w:r w:rsidR="001972A3">
        <w:rPr>
          <w:rFonts w:ascii="Arial" w:hAnsi="Arial" w:cs="Arial"/>
        </w:rPr>
        <w:t xml:space="preserve">for accessible guidance and tailored support. </w:t>
      </w:r>
    </w:p>
    <w:p w:rsidR="00D937D2" w:rsidP="00793859" w:rsidRDefault="00D937D2" w14:paraId="51DD2BC0" w14:textId="77777777">
      <w:pPr>
        <w:spacing w:after="0"/>
        <w:rPr>
          <w:rFonts w:ascii="Arial" w:hAnsi="Arial" w:cs="Arial"/>
        </w:rPr>
      </w:pPr>
    </w:p>
    <w:p w:rsidRPr="00551C89" w:rsidR="00945C8D" w:rsidP="00793859" w:rsidRDefault="00945C8D" w14:paraId="09A26EC3" w14:textId="6C5D4998">
      <w:pPr>
        <w:spacing w:after="0"/>
        <w:rPr>
          <w:rFonts w:ascii="Arial" w:hAnsi="Arial" w:cs="Arial"/>
        </w:rPr>
      </w:pPr>
      <w:r w:rsidRPr="7F797E6B">
        <w:rPr>
          <w:rFonts w:ascii="Arial" w:hAnsi="Arial" w:cs="Arial"/>
        </w:rPr>
        <w:t>This area will also focus on promoting best practice, providing access to advice and training and encouraging investment in property maintenance.</w:t>
      </w:r>
    </w:p>
    <w:p w:rsidR="002429F2" w:rsidP="00793859" w:rsidRDefault="002429F2" w14:paraId="4F73E35F" w14:textId="77777777">
      <w:pPr>
        <w:spacing w:after="0"/>
        <w:rPr>
          <w:rFonts w:ascii="Arial" w:hAnsi="Arial" w:cs="Arial"/>
          <w:b/>
          <w:bCs/>
        </w:rPr>
      </w:pPr>
    </w:p>
    <w:p w:rsidR="00B03CFA" w:rsidP="00793859" w:rsidRDefault="002A2F21" w14:paraId="6C97349F" w14:textId="13C12545">
      <w:pPr>
        <w:pStyle w:val="Heading2"/>
      </w:pPr>
      <w:bookmarkStart w:name="_Toc215586956" w:id="4"/>
      <w:r>
        <w:t xml:space="preserve">Focus area 3: </w:t>
      </w:r>
      <w:r w:rsidR="004C0719">
        <w:t>Adaptations</w:t>
      </w:r>
      <w:bookmarkEnd w:id="4"/>
    </w:p>
    <w:p w:rsidR="00D937D2" w:rsidP="00793859" w:rsidRDefault="00D937D2" w14:paraId="4EABD136" w14:textId="77777777">
      <w:pPr>
        <w:spacing w:after="0"/>
        <w:rPr>
          <w:rFonts w:ascii="Arial" w:hAnsi="Arial" w:cs="Arial"/>
          <w:i/>
          <w:iCs/>
        </w:rPr>
      </w:pPr>
    </w:p>
    <w:p w:rsidR="00BA3149" w:rsidP="00793859" w:rsidRDefault="00BA3149" w14:paraId="4DA54E39" w14:textId="2CE4555E">
      <w:pPr>
        <w:spacing w:after="0"/>
        <w:rPr>
          <w:rFonts w:ascii="Arial" w:hAnsi="Arial" w:cs="Arial"/>
          <w:i/>
          <w:iCs/>
        </w:rPr>
      </w:pPr>
      <w:r w:rsidRPr="008866D6">
        <w:rPr>
          <w:rFonts w:ascii="Arial" w:hAnsi="Arial" w:cs="Arial"/>
          <w:i/>
          <w:iCs/>
        </w:rPr>
        <w:t>Objective:</w:t>
      </w:r>
      <w:r w:rsidRPr="00BA3149">
        <w:rPr>
          <w:rFonts w:ascii="Arial" w:hAnsi="Arial" w:cs="Arial"/>
          <w:i/>
          <w:iCs/>
        </w:rPr>
        <w:t xml:space="preserve"> </w:t>
      </w:r>
      <w:r w:rsidR="006A6522">
        <w:rPr>
          <w:rFonts w:ascii="Arial" w:hAnsi="Arial" w:cs="Arial"/>
          <w:i/>
          <w:iCs/>
        </w:rPr>
        <w:t xml:space="preserve">Deliver a </w:t>
      </w:r>
      <w:r w:rsidR="00224122">
        <w:rPr>
          <w:rFonts w:ascii="Arial" w:hAnsi="Arial" w:cs="Arial"/>
          <w:i/>
          <w:iCs/>
        </w:rPr>
        <w:t xml:space="preserve">responsive and cost-effective adaptation service </w:t>
      </w:r>
      <w:r w:rsidR="00F404DE">
        <w:rPr>
          <w:rFonts w:ascii="Arial" w:hAnsi="Arial" w:cs="Arial"/>
          <w:i/>
          <w:iCs/>
        </w:rPr>
        <w:t>by maximising the use of the D</w:t>
      </w:r>
      <w:r w:rsidR="00505104">
        <w:rPr>
          <w:rFonts w:ascii="Arial" w:hAnsi="Arial" w:cs="Arial"/>
          <w:i/>
          <w:iCs/>
        </w:rPr>
        <w:t>isabled</w:t>
      </w:r>
      <w:r w:rsidR="00224122">
        <w:rPr>
          <w:rFonts w:ascii="Arial" w:hAnsi="Arial" w:cs="Arial"/>
          <w:i/>
          <w:iCs/>
        </w:rPr>
        <w:t xml:space="preserve"> Facilities Grant and oth</w:t>
      </w:r>
      <w:r w:rsidR="00F404DE">
        <w:rPr>
          <w:rFonts w:ascii="Arial" w:hAnsi="Arial" w:cs="Arial"/>
          <w:i/>
          <w:iCs/>
        </w:rPr>
        <w:t>er funding streams</w:t>
      </w:r>
      <w:r w:rsidR="00A462D9">
        <w:rPr>
          <w:rFonts w:ascii="Arial" w:hAnsi="Arial" w:cs="Arial"/>
          <w:i/>
          <w:iCs/>
        </w:rPr>
        <w:t xml:space="preserve"> that enable people with disabilities to live safely</w:t>
      </w:r>
      <w:r w:rsidR="00275B4C">
        <w:rPr>
          <w:rFonts w:ascii="Arial" w:hAnsi="Arial" w:cs="Arial"/>
          <w:i/>
          <w:iCs/>
        </w:rPr>
        <w:t xml:space="preserve"> and</w:t>
      </w:r>
      <w:r w:rsidR="00A462D9">
        <w:rPr>
          <w:rFonts w:ascii="Arial" w:hAnsi="Arial" w:cs="Arial"/>
          <w:i/>
          <w:iCs/>
        </w:rPr>
        <w:t xml:space="preserve"> independ</w:t>
      </w:r>
      <w:r w:rsidR="00891A04">
        <w:rPr>
          <w:rFonts w:ascii="Arial" w:hAnsi="Arial" w:cs="Arial"/>
          <w:i/>
          <w:iCs/>
        </w:rPr>
        <w:t>ently in their own home</w:t>
      </w:r>
      <w:r w:rsidR="00402076">
        <w:rPr>
          <w:rFonts w:ascii="Arial" w:hAnsi="Arial" w:cs="Arial"/>
          <w:i/>
          <w:iCs/>
        </w:rPr>
        <w:t xml:space="preserve"> </w:t>
      </w:r>
    </w:p>
    <w:p w:rsidR="00D937D2" w:rsidP="00793859" w:rsidRDefault="00D937D2" w14:paraId="1C9CAA31" w14:textId="77777777">
      <w:pPr>
        <w:spacing w:after="0"/>
        <w:rPr>
          <w:rFonts w:ascii="Arial" w:hAnsi="Arial" w:cs="Arial"/>
        </w:rPr>
      </w:pPr>
    </w:p>
    <w:p w:rsidR="00B60015" w:rsidP="00793859" w:rsidRDefault="00FB4C5F" w14:paraId="1A746B48" w14:textId="3085EB32">
      <w:pPr>
        <w:spacing w:after="0"/>
        <w:rPr>
          <w:rFonts w:ascii="Arial" w:hAnsi="Arial" w:cs="Arial"/>
        </w:rPr>
      </w:pPr>
      <w:r>
        <w:rPr>
          <w:rFonts w:ascii="Arial" w:hAnsi="Arial" w:cs="Arial"/>
        </w:rPr>
        <w:t>Conwy</w:t>
      </w:r>
      <w:r w:rsidR="00D045A9">
        <w:rPr>
          <w:rFonts w:ascii="Arial" w:hAnsi="Arial" w:cs="Arial"/>
        </w:rPr>
        <w:t xml:space="preserve"> has a statutory duty </w:t>
      </w:r>
      <w:r w:rsidR="000018A8">
        <w:rPr>
          <w:rFonts w:ascii="Arial" w:hAnsi="Arial" w:cs="Arial"/>
        </w:rPr>
        <w:t xml:space="preserve">under the Housing Grants, Construction and Regeneration Act 1996 </w:t>
      </w:r>
      <w:r w:rsidR="00DC072F">
        <w:rPr>
          <w:rFonts w:ascii="Arial" w:hAnsi="Arial" w:cs="Arial"/>
        </w:rPr>
        <w:t>to provide</w:t>
      </w:r>
      <w:r w:rsidR="00D045A9">
        <w:rPr>
          <w:rFonts w:ascii="Arial" w:hAnsi="Arial" w:cs="Arial"/>
        </w:rPr>
        <w:t xml:space="preserve"> </w:t>
      </w:r>
      <w:r w:rsidR="000018A8">
        <w:rPr>
          <w:rFonts w:ascii="Arial" w:hAnsi="Arial" w:cs="Arial"/>
        </w:rPr>
        <w:t xml:space="preserve">Disabled Facilities Grants </w:t>
      </w:r>
      <w:r w:rsidR="00BD6FB4">
        <w:rPr>
          <w:rFonts w:ascii="Arial" w:hAnsi="Arial" w:cs="Arial"/>
        </w:rPr>
        <w:t xml:space="preserve">(DFGs) </w:t>
      </w:r>
      <w:r w:rsidR="000018A8">
        <w:rPr>
          <w:rFonts w:ascii="Arial" w:hAnsi="Arial" w:cs="Arial"/>
        </w:rPr>
        <w:t>to eligible applicants</w:t>
      </w:r>
      <w:r w:rsidR="00B3025E">
        <w:rPr>
          <w:rFonts w:ascii="Arial" w:hAnsi="Arial" w:cs="Arial"/>
        </w:rPr>
        <w:t>.</w:t>
      </w:r>
      <w:r>
        <w:rPr>
          <w:rFonts w:ascii="Arial" w:hAnsi="Arial" w:cs="Arial"/>
        </w:rPr>
        <w:t xml:space="preserve"> In recent years, an increase in referrals for DFGs</w:t>
      </w:r>
      <w:r w:rsidR="00BD6FB4">
        <w:rPr>
          <w:rFonts w:ascii="Arial" w:hAnsi="Arial" w:cs="Arial"/>
        </w:rPr>
        <w:t xml:space="preserve">, combined with staff turnover within the adaptation team, </w:t>
      </w:r>
      <w:r w:rsidR="007F108F">
        <w:rPr>
          <w:rFonts w:ascii="Arial" w:hAnsi="Arial" w:cs="Arial"/>
        </w:rPr>
        <w:t xml:space="preserve">has resulted in longer waiting times for </w:t>
      </w:r>
      <w:r w:rsidR="00140719">
        <w:rPr>
          <w:rFonts w:ascii="Arial" w:hAnsi="Arial" w:cs="Arial"/>
        </w:rPr>
        <w:t>the delivery of essential home adaptations.</w:t>
      </w:r>
    </w:p>
    <w:p w:rsidR="00D937D2" w:rsidP="00793859" w:rsidRDefault="00D937D2" w14:paraId="65B23E5B" w14:textId="77777777">
      <w:pPr>
        <w:spacing w:after="0"/>
        <w:rPr>
          <w:rFonts w:ascii="Arial" w:hAnsi="Arial" w:cs="Arial"/>
        </w:rPr>
      </w:pPr>
    </w:p>
    <w:p w:rsidRPr="00F51B06" w:rsidR="00A37550" w:rsidP="00793859" w:rsidRDefault="00A37550" w14:paraId="7E255431" w14:textId="4139E926">
      <w:pPr>
        <w:spacing w:after="0"/>
        <w:rPr>
          <w:rFonts w:ascii="Arial" w:hAnsi="Arial" w:cs="Arial"/>
        </w:rPr>
      </w:pPr>
      <w:r>
        <w:rPr>
          <w:rFonts w:ascii="Arial" w:hAnsi="Arial" w:cs="Arial"/>
        </w:rPr>
        <w:t>This area will focus on</w:t>
      </w:r>
      <w:r w:rsidR="00E477A2">
        <w:rPr>
          <w:rFonts w:ascii="Arial" w:hAnsi="Arial" w:cs="Arial"/>
        </w:rPr>
        <w:t xml:space="preserve"> streamlining the adaptation process, including strengthening partnership working arrangement</w:t>
      </w:r>
      <w:r w:rsidR="00C04DE0">
        <w:rPr>
          <w:rFonts w:ascii="Arial" w:hAnsi="Arial" w:cs="Arial"/>
        </w:rPr>
        <w:t>s</w:t>
      </w:r>
      <w:r w:rsidR="00576E4F">
        <w:rPr>
          <w:rFonts w:ascii="Arial" w:hAnsi="Arial" w:cs="Arial"/>
        </w:rPr>
        <w:t xml:space="preserve"> and </w:t>
      </w:r>
      <w:r w:rsidR="00041440">
        <w:rPr>
          <w:rFonts w:ascii="Arial" w:hAnsi="Arial" w:cs="Arial"/>
        </w:rPr>
        <w:t xml:space="preserve">utilising funding opportunities </w:t>
      </w:r>
      <w:r w:rsidR="00576E4F">
        <w:rPr>
          <w:rFonts w:ascii="Arial" w:hAnsi="Arial" w:cs="Arial"/>
        </w:rPr>
        <w:t>to reduce</w:t>
      </w:r>
      <w:r w:rsidR="000651E7">
        <w:rPr>
          <w:rFonts w:ascii="Arial" w:hAnsi="Arial" w:cs="Arial"/>
        </w:rPr>
        <w:t xml:space="preserve"> waiting times for adaptations</w:t>
      </w:r>
      <w:r w:rsidR="00B70D2B">
        <w:rPr>
          <w:rFonts w:ascii="Arial" w:hAnsi="Arial" w:cs="Arial"/>
        </w:rPr>
        <w:t>.</w:t>
      </w:r>
      <w:r w:rsidR="00E477A2">
        <w:rPr>
          <w:rFonts w:ascii="Arial" w:hAnsi="Arial" w:cs="Arial"/>
        </w:rPr>
        <w:t xml:space="preserve"> </w:t>
      </w:r>
    </w:p>
    <w:p w:rsidR="00D937D2" w:rsidP="00793859" w:rsidRDefault="00D937D2" w14:paraId="1517416B" w14:textId="77777777">
      <w:pPr>
        <w:spacing w:after="0"/>
        <w:rPr>
          <w:rFonts w:ascii="Arial" w:hAnsi="Arial" w:cs="Arial"/>
          <w:b/>
          <w:bCs/>
        </w:rPr>
      </w:pPr>
    </w:p>
    <w:p w:rsidR="004B3D68" w:rsidP="00793859" w:rsidRDefault="002A2F21" w14:paraId="69B51F65" w14:textId="020F03F3">
      <w:pPr>
        <w:pStyle w:val="Heading2"/>
      </w:pPr>
      <w:bookmarkStart w:name="_Toc215586957" w:id="5"/>
      <w:r>
        <w:t xml:space="preserve">Focus area 4: </w:t>
      </w:r>
      <w:r w:rsidR="00D52095">
        <w:t xml:space="preserve">Property </w:t>
      </w:r>
      <w:r w:rsidR="00A55410">
        <w:t>C</w:t>
      </w:r>
      <w:r w:rsidR="00D52095">
        <w:t>onditions</w:t>
      </w:r>
      <w:bookmarkEnd w:id="5"/>
    </w:p>
    <w:p w:rsidR="00D937D2" w:rsidP="00793859" w:rsidRDefault="00D937D2" w14:paraId="747A73EE" w14:textId="77777777">
      <w:pPr>
        <w:spacing w:after="0"/>
        <w:rPr>
          <w:rFonts w:ascii="Arial" w:hAnsi="Arial" w:cs="Arial"/>
          <w:i/>
          <w:iCs/>
        </w:rPr>
      </w:pPr>
    </w:p>
    <w:p w:rsidR="00BA3149" w:rsidP="00793859" w:rsidRDefault="00BA3149" w14:paraId="1C2C400F" w14:textId="38356BEF">
      <w:pPr>
        <w:spacing w:after="0"/>
        <w:rPr>
          <w:rFonts w:ascii="Arial" w:hAnsi="Arial" w:cs="Arial"/>
          <w:i/>
          <w:iCs/>
        </w:rPr>
      </w:pPr>
      <w:r w:rsidRPr="008866D6">
        <w:rPr>
          <w:rFonts w:ascii="Arial" w:hAnsi="Arial" w:cs="Arial"/>
          <w:i/>
          <w:iCs/>
        </w:rPr>
        <w:t>Objective:</w:t>
      </w:r>
      <w:r w:rsidRPr="00BA3149">
        <w:rPr>
          <w:rFonts w:ascii="Arial" w:hAnsi="Arial" w:cs="Arial"/>
          <w:i/>
          <w:iCs/>
        </w:rPr>
        <w:t xml:space="preserve"> </w:t>
      </w:r>
      <w:r w:rsidR="009E1491">
        <w:rPr>
          <w:rFonts w:ascii="Arial" w:hAnsi="Arial" w:cs="Arial"/>
          <w:i/>
          <w:iCs/>
        </w:rPr>
        <w:t>Identify and maximise Welsh Government and other grant funding opportunities to develop and deliver targeted initiatives that encourage private property owners to invest</w:t>
      </w:r>
      <w:r w:rsidR="002C6DEC">
        <w:rPr>
          <w:rFonts w:ascii="Arial" w:hAnsi="Arial" w:cs="Arial"/>
          <w:i/>
          <w:iCs/>
        </w:rPr>
        <w:t xml:space="preserve"> in improving the condition and energy </w:t>
      </w:r>
      <w:r w:rsidR="0073006E">
        <w:rPr>
          <w:rFonts w:ascii="Arial" w:hAnsi="Arial" w:cs="Arial"/>
          <w:i/>
          <w:iCs/>
        </w:rPr>
        <w:t>efficiency of their homes</w:t>
      </w:r>
    </w:p>
    <w:p w:rsidR="00D937D2" w:rsidP="00793859" w:rsidRDefault="00D937D2" w14:paraId="5DBF310E" w14:textId="77777777">
      <w:pPr>
        <w:spacing w:after="0"/>
        <w:rPr>
          <w:rFonts w:ascii="Arial" w:hAnsi="Arial" w:cs="Arial"/>
        </w:rPr>
      </w:pPr>
    </w:p>
    <w:p w:rsidR="00373750" w:rsidP="00793859" w:rsidRDefault="00A05157" w14:paraId="6F902206" w14:textId="18BE75F0">
      <w:pPr>
        <w:spacing w:after="0"/>
        <w:rPr>
          <w:rFonts w:ascii="Arial" w:hAnsi="Arial" w:cs="Arial"/>
        </w:rPr>
      </w:pPr>
      <w:r>
        <w:rPr>
          <w:rFonts w:ascii="Arial" w:hAnsi="Arial" w:cs="Arial"/>
        </w:rPr>
        <w:t xml:space="preserve">Supporting homeowners to improve the condition of their property has many benefits </w:t>
      </w:r>
      <w:r w:rsidR="00DC2BE2">
        <w:rPr>
          <w:rFonts w:ascii="Arial" w:hAnsi="Arial" w:cs="Arial"/>
        </w:rPr>
        <w:t>such as creating safer, healthier living environments</w:t>
      </w:r>
      <w:r w:rsidR="0049090D">
        <w:rPr>
          <w:rFonts w:ascii="Arial" w:hAnsi="Arial" w:cs="Arial"/>
        </w:rPr>
        <w:t xml:space="preserve">, which can in turn help to </w:t>
      </w:r>
      <w:r w:rsidR="004851BC">
        <w:rPr>
          <w:rFonts w:ascii="Arial" w:hAnsi="Arial" w:cs="Arial"/>
        </w:rPr>
        <w:t xml:space="preserve">prevent homelessness </w:t>
      </w:r>
      <w:r w:rsidR="0049090D">
        <w:rPr>
          <w:rFonts w:ascii="Arial" w:hAnsi="Arial" w:cs="Arial"/>
        </w:rPr>
        <w:t xml:space="preserve">and hospital admissions </w:t>
      </w:r>
      <w:r w:rsidR="004851BC">
        <w:rPr>
          <w:rFonts w:ascii="Arial" w:hAnsi="Arial" w:cs="Arial"/>
        </w:rPr>
        <w:t>due to unfit living conditions</w:t>
      </w:r>
      <w:r w:rsidR="0049090D">
        <w:rPr>
          <w:rFonts w:ascii="Arial" w:hAnsi="Arial" w:cs="Arial"/>
        </w:rPr>
        <w:t xml:space="preserve">. Upgrading properties can also </w:t>
      </w:r>
      <w:r w:rsidR="00857C6F">
        <w:rPr>
          <w:rFonts w:ascii="Arial" w:hAnsi="Arial" w:cs="Arial"/>
        </w:rPr>
        <w:t>help reduce the carbon footprint and tackle fuel poverty</w:t>
      </w:r>
      <w:r w:rsidR="006E7DD9">
        <w:rPr>
          <w:rFonts w:ascii="Arial" w:hAnsi="Arial" w:cs="Arial"/>
        </w:rPr>
        <w:t xml:space="preserve">. </w:t>
      </w:r>
    </w:p>
    <w:p w:rsidR="00D937D2" w:rsidP="00793859" w:rsidRDefault="00D937D2" w14:paraId="7DCE1F7A" w14:textId="77777777">
      <w:pPr>
        <w:spacing w:after="0"/>
        <w:rPr>
          <w:rFonts w:ascii="Arial" w:hAnsi="Arial" w:cs="Arial"/>
        </w:rPr>
      </w:pPr>
    </w:p>
    <w:p w:rsidRPr="00361DEA" w:rsidR="006E7DD9" w:rsidP="00793859" w:rsidRDefault="006E3EC0" w14:paraId="2122BF3E" w14:textId="0AC9E11F">
      <w:pPr>
        <w:spacing w:after="0"/>
        <w:rPr>
          <w:rFonts w:ascii="Arial" w:hAnsi="Arial" w:cs="Arial"/>
        </w:rPr>
      </w:pPr>
      <w:r>
        <w:rPr>
          <w:rFonts w:ascii="Arial" w:hAnsi="Arial" w:cs="Arial"/>
        </w:rPr>
        <w:t>Initiatives such as ECO have proven successful</w:t>
      </w:r>
      <w:r w:rsidR="00BC27A6">
        <w:rPr>
          <w:rFonts w:ascii="Arial" w:hAnsi="Arial" w:cs="Arial"/>
        </w:rPr>
        <w:t xml:space="preserve"> in </w:t>
      </w:r>
      <w:r w:rsidR="00FE0B0C">
        <w:rPr>
          <w:rFonts w:ascii="Arial" w:hAnsi="Arial" w:cs="Arial"/>
        </w:rPr>
        <w:t>Conwy</w:t>
      </w:r>
      <w:r w:rsidR="00373750">
        <w:rPr>
          <w:rFonts w:ascii="Arial" w:hAnsi="Arial" w:cs="Arial"/>
        </w:rPr>
        <w:t xml:space="preserve">. </w:t>
      </w:r>
      <w:r w:rsidR="006E7DD9">
        <w:rPr>
          <w:rFonts w:ascii="Arial" w:hAnsi="Arial" w:cs="Arial"/>
        </w:rPr>
        <w:t xml:space="preserve">This area will focus on </w:t>
      </w:r>
      <w:r w:rsidR="00373750">
        <w:rPr>
          <w:rFonts w:ascii="Arial" w:hAnsi="Arial" w:cs="Arial"/>
        </w:rPr>
        <w:t>building on the success</w:t>
      </w:r>
      <w:r w:rsidR="00BF027D">
        <w:rPr>
          <w:rFonts w:ascii="Arial" w:hAnsi="Arial" w:cs="Arial"/>
        </w:rPr>
        <w:t xml:space="preserve"> of previous initiatives</w:t>
      </w:r>
      <w:r w:rsidR="00373750">
        <w:rPr>
          <w:rFonts w:ascii="Arial" w:hAnsi="Arial" w:cs="Arial"/>
        </w:rPr>
        <w:t xml:space="preserve">, </w:t>
      </w:r>
      <w:r w:rsidR="00DE1DE3">
        <w:rPr>
          <w:rFonts w:ascii="Arial" w:hAnsi="Arial" w:cs="Arial"/>
        </w:rPr>
        <w:t xml:space="preserve">promoting awareness of </w:t>
      </w:r>
      <w:r w:rsidR="001B08F9">
        <w:rPr>
          <w:rFonts w:ascii="Arial" w:hAnsi="Arial" w:cs="Arial"/>
        </w:rPr>
        <w:t>available grants</w:t>
      </w:r>
      <w:r w:rsidR="005B4F1C">
        <w:rPr>
          <w:rFonts w:ascii="Arial" w:hAnsi="Arial" w:cs="Arial"/>
        </w:rPr>
        <w:t xml:space="preserve"> and </w:t>
      </w:r>
      <w:r w:rsidR="001B08F9">
        <w:rPr>
          <w:rFonts w:ascii="Arial" w:hAnsi="Arial" w:cs="Arial"/>
        </w:rPr>
        <w:t>ensur</w:t>
      </w:r>
      <w:r w:rsidR="00373750">
        <w:rPr>
          <w:rFonts w:ascii="Arial" w:hAnsi="Arial" w:cs="Arial"/>
        </w:rPr>
        <w:t>ing</w:t>
      </w:r>
      <w:r w:rsidR="001B08F9">
        <w:rPr>
          <w:rFonts w:ascii="Arial" w:hAnsi="Arial" w:cs="Arial"/>
        </w:rPr>
        <w:t xml:space="preserve"> </w:t>
      </w:r>
      <w:r w:rsidR="005B4F1C">
        <w:rPr>
          <w:rFonts w:ascii="Arial" w:hAnsi="Arial" w:cs="Arial"/>
        </w:rPr>
        <w:t>initiatives are targeted to vulnerable and low-income households.</w:t>
      </w:r>
    </w:p>
    <w:p w:rsidR="00D937D2" w:rsidP="00793859" w:rsidRDefault="00D937D2" w14:paraId="2B74ED0E" w14:textId="77777777">
      <w:pPr>
        <w:spacing w:after="0"/>
        <w:rPr>
          <w:rFonts w:ascii="Arial" w:hAnsi="Arial" w:cs="Arial"/>
          <w:b/>
          <w:bCs/>
        </w:rPr>
      </w:pPr>
    </w:p>
    <w:p w:rsidR="001068DF" w:rsidP="00793859" w:rsidRDefault="001068DF" w14:paraId="0DBC3C15" w14:textId="679A7484">
      <w:pPr>
        <w:pStyle w:val="Heading1"/>
      </w:pPr>
      <w:bookmarkStart w:name="_Toc215586958" w:id="6"/>
      <w:r>
        <w:t>3</w:t>
      </w:r>
      <w:r>
        <w:tab/>
        <w:t>Resources</w:t>
      </w:r>
      <w:bookmarkEnd w:id="6"/>
    </w:p>
    <w:p w:rsidR="00D937D2" w:rsidP="00793859" w:rsidRDefault="00D937D2" w14:paraId="6C2076F7" w14:textId="77777777">
      <w:pPr>
        <w:spacing w:after="0"/>
        <w:rPr>
          <w:rFonts w:ascii="Arial" w:hAnsi="Arial" w:cs="Arial"/>
          <w:b/>
          <w:bCs/>
        </w:rPr>
      </w:pPr>
    </w:p>
    <w:p w:rsidRPr="00C4723B" w:rsidR="00DF4462" w:rsidP="00793859" w:rsidRDefault="00DF4462" w14:paraId="2706B87D" w14:textId="3FB70AA7">
      <w:pPr>
        <w:pStyle w:val="Heading2"/>
      </w:pPr>
      <w:bookmarkStart w:name="_Toc215586959" w:id="7"/>
      <w:r w:rsidRPr="00C4723B">
        <w:t>Staffing</w:t>
      </w:r>
      <w:bookmarkEnd w:id="7"/>
    </w:p>
    <w:p w:rsidR="00D937D2" w:rsidP="00793859" w:rsidRDefault="00D937D2" w14:paraId="4E574BC8" w14:textId="77777777">
      <w:pPr>
        <w:spacing w:after="0"/>
        <w:rPr>
          <w:rFonts w:ascii="Arial" w:hAnsi="Arial" w:cs="Arial"/>
        </w:rPr>
      </w:pPr>
    </w:p>
    <w:p w:rsidRPr="001013B8" w:rsidR="001068DF" w:rsidP="00793859" w:rsidRDefault="00F63EBD" w14:paraId="2ACA709B" w14:textId="3480DAD1">
      <w:pPr>
        <w:spacing w:after="0"/>
        <w:rPr>
          <w:rFonts w:ascii="Arial" w:hAnsi="Arial" w:cs="Arial"/>
        </w:rPr>
      </w:pPr>
      <w:r>
        <w:rPr>
          <w:rFonts w:ascii="Arial" w:hAnsi="Arial" w:cs="Arial"/>
        </w:rPr>
        <w:t>This Plan will</w:t>
      </w:r>
      <w:r w:rsidR="00780B0A">
        <w:rPr>
          <w:rFonts w:ascii="Arial" w:hAnsi="Arial" w:cs="Arial"/>
        </w:rPr>
        <w:t xml:space="preserve"> be</w:t>
      </w:r>
      <w:r>
        <w:rPr>
          <w:rFonts w:ascii="Arial" w:hAnsi="Arial" w:cs="Arial"/>
        </w:rPr>
        <w:t xml:space="preserve"> delivered across </w:t>
      </w:r>
      <w:r w:rsidR="00A2034E">
        <w:rPr>
          <w:rFonts w:ascii="Arial" w:hAnsi="Arial" w:cs="Arial"/>
        </w:rPr>
        <w:t>two departments</w:t>
      </w:r>
      <w:r w:rsidR="00780B0A">
        <w:rPr>
          <w:rFonts w:ascii="Arial" w:hAnsi="Arial" w:cs="Arial"/>
        </w:rPr>
        <w:t>:</w:t>
      </w:r>
      <w:r>
        <w:rPr>
          <w:rFonts w:ascii="Arial" w:hAnsi="Arial" w:cs="Arial"/>
        </w:rPr>
        <w:t xml:space="preserve"> </w:t>
      </w:r>
      <w:r w:rsidR="00A2034E">
        <w:rPr>
          <w:rFonts w:ascii="Arial" w:hAnsi="Arial" w:cs="Arial"/>
        </w:rPr>
        <w:t xml:space="preserve">Strategic </w:t>
      </w:r>
      <w:r w:rsidR="00780B0A">
        <w:rPr>
          <w:rFonts w:ascii="Arial" w:hAnsi="Arial" w:cs="Arial"/>
        </w:rPr>
        <w:t xml:space="preserve">Housing and </w:t>
      </w:r>
      <w:r w:rsidR="00A2034E">
        <w:rPr>
          <w:rFonts w:ascii="Arial" w:hAnsi="Arial" w:cs="Arial"/>
        </w:rPr>
        <w:t>Regulatory Services</w:t>
      </w:r>
      <w:r w:rsidR="00780B0A">
        <w:rPr>
          <w:rFonts w:ascii="Arial" w:hAnsi="Arial" w:cs="Arial"/>
        </w:rPr>
        <w:t xml:space="preserve">. </w:t>
      </w:r>
    </w:p>
    <w:p w:rsidR="00D937D2" w:rsidP="00793859" w:rsidRDefault="00D937D2" w14:paraId="3FDF9A01" w14:textId="77777777">
      <w:pPr>
        <w:spacing w:after="0"/>
        <w:rPr>
          <w:rFonts w:ascii="Arial" w:hAnsi="Arial" w:cs="Arial"/>
          <w:b/>
          <w:bCs/>
        </w:rPr>
      </w:pPr>
    </w:p>
    <w:p w:rsidR="00C2376C" w:rsidP="00793859" w:rsidRDefault="00871AD3" w14:paraId="2767D5F6" w14:textId="060318EB">
      <w:pPr>
        <w:pStyle w:val="Heading2"/>
      </w:pPr>
      <w:bookmarkStart w:name="_Toc215586960" w:id="8"/>
      <w:r>
        <w:t>Disabled Facilities Grant</w:t>
      </w:r>
      <w:bookmarkEnd w:id="8"/>
    </w:p>
    <w:p w:rsidR="00D937D2" w:rsidP="00793859" w:rsidRDefault="00D937D2" w14:paraId="0017CF29" w14:textId="77777777">
      <w:pPr>
        <w:spacing w:after="0"/>
        <w:rPr>
          <w:rFonts w:ascii="Arial" w:hAnsi="Arial" w:cs="Arial"/>
        </w:rPr>
      </w:pPr>
    </w:p>
    <w:p w:rsidRPr="00793859" w:rsidR="00057F37" w:rsidP="00793859" w:rsidRDefault="00057F37" w14:paraId="5021C675" w14:textId="481701ED">
      <w:pPr>
        <w:spacing w:after="0"/>
        <w:rPr>
          <w:rFonts w:ascii="Arial" w:hAnsi="Arial" w:cs="Arial"/>
        </w:rPr>
      </w:pPr>
      <w:r w:rsidRPr="002429F2">
        <w:rPr>
          <w:rFonts w:ascii="Arial" w:hAnsi="Arial" w:cs="Arial"/>
        </w:rPr>
        <w:t>£</w:t>
      </w:r>
      <w:r w:rsidRPr="002429F2" w:rsidR="4131FF88">
        <w:rPr>
          <w:rFonts w:ascii="Arial" w:hAnsi="Arial" w:cs="Arial"/>
        </w:rPr>
        <w:t>1,018,000</w:t>
      </w:r>
      <w:r w:rsidRPr="002429F2">
        <w:rPr>
          <w:rFonts w:ascii="Arial" w:hAnsi="Arial" w:cs="Arial"/>
        </w:rPr>
        <w:t xml:space="preserve"> is</w:t>
      </w:r>
      <w:r w:rsidRPr="2BD50CF8">
        <w:rPr>
          <w:rFonts w:ascii="Arial" w:hAnsi="Arial" w:cs="Arial"/>
        </w:rPr>
        <w:t xml:space="preserve"> allocated to</w:t>
      </w:r>
      <w:r w:rsidRPr="2BD50CF8" w:rsidR="00871AD3">
        <w:rPr>
          <w:rFonts w:ascii="Arial" w:hAnsi="Arial" w:cs="Arial"/>
        </w:rPr>
        <w:t xml:space="preserve"> deliver the adaptations service</w:t>
      </w:r>
      <w:r w:rsidR="00793859">
        <w:rPr>
          <w:rFonts w:ascii="Arial" w:hAnsi="Arial" w:cs="Arial"/>
        </w:rPr>
        <w:t>.</w:t>
      </w:r>
    </w:p>
    <w:p w:rsidR="00D937D2" w:rsidP="00793859" w:rsidRDefault="00D937D2" w14:paraId="51EA59B1" w14:textId="77777777">
      <w:pPr>
        <w:spacing w:after="0"/>
        <w:rPr>
          <w:rFonts w:ascii="Arial" w:hAnsi="Arial" w:cs="Arial"/>
          <w:b/>
          <w:bCs/>
        </w:rPr>
      </w:pPr>
    </w:p>
    <w:p w:rsidRPr="00F96040" w:rsidR="00B122E1" w:rsidP="00793859" w:rsidRDefault="00B122E1" w14:paraId="24B6E1CA" w14:textId="1EA8CF0A">
      <w:pPr>
        <w:pStyle w:val="Heading2"/>
      </w:pPr>
      <w:bookmarkStart w:name="_Toc215586961" w:id="9"/>
      <w:r w:rsidRPr="00F96040">
        <w:lastRenderedPageBreak/>
        <w:t xml:space="preserve">Partnership </w:t>
      </w:r>
      <w:r w:rsidR="00793859">
        <w:t>W</w:t>
      </w:r>
      <w:r w:rsidRPr="00F96040">
        <w:t>orking</w:t>
      </w:r>
      <w:bookmarkEnd w:id="9"/>
    </w:p>
    <w:p w:rsidR="00D937D2" w:rsidP="00793859" w:rsidRDefault="00D937D2" w14:paraId="0AC289DC" w14:textId="77777777">
      <w:pPr>
        <w:spacing w:after="0"/>
        <w:rPr>
          <w:rFonts w:ascii="Arial" w:hAnsi="Arial" w:cs="Arial"/>
        </w:rPr>
      </w:pPr>
    </w:p>
    <w:p w:rsidR="00B122E1" w:rsidP="00793859" w:rsidRDefault="00B122E1" w14:paraId="1700CF0A" w14:textId="267FAAA7">
      <w:pPr>
        <w:spacing w:after="0"/>
        <w:rPr>
          <w:rFonts w:ascii="Arial" w:hAnsi="Arial" w:cs="Arial"/>
        </w:rPr>
      </w:pPr>
      <w:r>
        <w:rPr>
          <w:rFonts w:ascii="Arial" w:hAnsi="Arial" w:cs="Arial"/>
        </w:rPr>
        <w:t>The delivery of the Plan is underpinned by a commitment to collaboration and innovation.</w:t>
      </w:r>
    </w:p>
    <w:p w:rsidR="00D937D2" w:rsidP="00793859" w:rsidRDefault="00D937D2" w14:paraId="0B2008EB" w14:textId="77777777">
      <w:pPr>
        <w:spacing w:after="0"/>
        <w:rPr>
          <w:rFonts w:ascii="Arial" w:hAnsi="Arial" w:cs="Arial"/>
          <w:b/>
          <w:bCs/>
        </w:rPr>
      </w:pPr>
    </w:p>
    <w:p w:rsidR="001068DF" w:rsidP="00793859" w:rsidRDefault="001068DF" w14:paraId="6BF66372" w14:textId="642F7172">
      <w:pPr>
        <w:pStyle w:val="Heading1"/>
      </w:pPr>
      <w:bookmarkStart w:name="_Toc215586962" w:id="10"/>
      <w:r>
        <w:t>4</w:t>
      </w:r>
      <w:r>
        <w:tab/>
        <w:t>Monitoring Success</w:t>
      </w:r>
      <w:bookmarkEnd w:id="10"/>
    </w:p>
    <w:p w:rsidR="00D937D2" w:rsidP="00793859" w:rsidRDefault="00D937D2" w14:paraId="7528806E" w14:textId="77777777">
      <w:pPr>
        <w:spacing w:after="0"/>
        <w:rPr>
          <w:rFonts w:ascii="Arial" w:hAnsi="Arial" w:cs="Arial"/>
        </w:rPr>
      </w:pPr>
    </w:p>
    <w:p w:rsidR="004206F4" w:rsidP="00793859" w:rsidRDefault="004206F4" w14:paraId="566DAD2A" w14:textId="6702E56D">
      <w:pPr>
        <w:spacing w:after="0"/>
        <w:rPr>
          <w:rFonts w:ascii="Arial" w:hAnsi="Arial" w:cs="Arial"/>
        </w:rPr>
      </w:pPr>
      <w:r>
        <w:rPr>
          <w:rFonts w:ascii="Arial" w:hAnsi="Arial" w:cs="Arial"/>
        </w:rPr>
        <w:t>The success of the Plan will be measured through a combination of quantitative and qualitative indicators, aligned with the Welsh Government priorities and CCBC’s strategic objectives noted in section two.</w:t>
      </w:r>
    </w:p>
    <w:p w:rsidR="00D937D2" w:rsidP="00793859" w:rsidRDefault="00D937D2" w14:paraId="34BD9433" w14:textId="77777777">
      <w:pPr>
        <w:spacing w:after="0"/>
        <w:rPr>
          <w:rFonts w:ascii="Arial" w:hAnsi="Arial" w:cs="Arial"/>
          <w:b/>
          <w:bCs/>
        </w:rPr>
      </w:pPr>
    </w:p>
    <w:p w:rsidRPr="00482278" w:rsidR="004206F4" w:rsidP="00793859" w:rsidRDefault="004206F4" w14:paraId="4898F5EE" w14:textId="2DD3E323">
      <w:pPr>
        <w:pStyle w:val="Heading2"/>
      </w:pPr>
      <w:bookmarkStart w:name="_Toc215586963" w:id="11"/>
      <w:r w:rsidRPr="00482278">
        <w:t>Key Performance Indicators (KPIs)</w:t>
      </w:r>
      <w:bookmarkEnd w:id="11"/>
    </w:p>
    <w:p w:rsidR="00D937D2" w:rsidP="00793859" w:rsidRDefault="00D937D2" w14:paraId="47A5BE96" w14:textId="77777777">
      <w:pPr>
        <w:spacing w:after="0"/>
        <w:rPr>
          <w:rFonts w:ascii="Arial" w:hAnsi="Arial" w:cs="Arial"/>
        </w:rPr>
      </w:pPr>
    </w:p>
    <w:p w:rsidR="004206F4" w:rsidP="00793859" w:rsidRDefault="004206F4" w14:paraId="2F1F84DA" w14:textId="67EB443D">
      <w:pPr>
        <w:spacing w:after="0"/>
        <w:rPr>
          <w:rFonts w:ascii="Arial" w:hAnsi="Arial" w:cs="Arial"/>
        </w:rPr>
      </w:pPr>
      <w:r>
        <w:rPr>
          <w:rFonts w:ascii="Arial" w:hAnsi="Arial" w:cs="Arial"/>
        </w:rPr>
        <w:t>Progress will be monitored against the following KPIs:</w:t>
      </w:r>
    </w:p>
    <w:p w:rsidR="00D937D2" w:rsidP="00793859" w:rsidRDefault="00D937D2" w14:paraId="178CCC82" w14:textId="77777777">
      <w:pPr>
        <w:spacing w:after="0"/>
        <w:rPr>
          <w:rFonts w:ascii="Arial" w:hAnsi="Arial" w:cs="Arial"/>
        </w:rPr>
      </w:pPr>
    </w:p>
    <w:p w:rsidR="004206F4" w:rsidP="00793859" w:rsidRDefault="004F0154" w14:paraId="67386D6B" w14:textId="377B12E6">
      <w:pPr>
        <w:pStyle w:val="ListParagraph"/>
        <w:numPr>
          <w:ilvl w:val="0"/>
          <w:numId w:val="5"/>
        </w:numPr>
        <w:spacing w:after="0"/>
        <w:rPr>
          <w:rFonts w:ascii="Arial" w:hAnsi="Arial" w:cs="Arial"/>
        </w:rPr>
      </w:pPr>
      <w:r>
        <w:rPr>
          <w:rFonts w:ascii="Arial" w:hAnsi="Arial" w:cs="Arial"/>
        </w:rPr>
        <w:t>Increase in the n</w:t>
      </w:r>
      <w:r w:rsidR="002E1045">
        <w:rPr>
          <w:rFonts w:ascii="Arial" w:hAnsi="Arial" w:cs="Arial"/>
        </w:rPr>
        <w:t>umber of landlords and agents registered and licensed with Rent Smart Wales</w:t>
      </w:r>
    </w:p>
    <w:p w:rsidR="00623CFD" w:rsidP="00793859" w:rsidRDefault="004F0154" w14:paraId="6F8F5352" w14:textId="40406AAD">
      <w:pPr>
        <w:pStyle w:val="ListParagraph"/>
        <w:numPr>
          <w:ilvl w:val="0"/>
          <w:numId w:val="5"/>
        </w:numPr>
        <w:spacing w:after="0"/>
        <w:rPr>
          <w:rFonts w:ascii="Arial" w:hAnsi="Arial" w:cs="Arial"/>
        </w:rPr>
      </w:pPr>
      <w:r>
        <w:rPr>
          <w:rFonts w:ascii="Arial" w:hAnsi="Arial" w:cs="Arial"/>
        </w:rPr>
        <w:t>Reduction in the number of complaints relating to poor housing conditions or landlord behaviour</w:t>
      </w:r>
    </w:p>
    <w:p w:rsidR="00BD08AD" w:rsidP="00793859" w:rsidRDefault="00BD08AD" w14:paraId="65CE0C87" w14:textId="0D10C691">
      <w:pPr>
        <w:pStyle w:val="ListParagraph"/>
        <w:numPr>
          <w:ilvl w:val="0"/>
          <w:numId w:val="5"/>
        </w:numPr>
        <w:spacing w:after="0"/>
        <w:rPr>
          <w:rFonts w:ascii="Arial" w:hAnsi="Arial" w:cs="Arial"/>
        </w:rPr>
      </w:pPr>
      <w:r>
        <w:rPr>
          <w:rFonts w:ascii="Arial" w:hAnsi="Arial" w:cs="Arial"/>
        </w:rPr>
        <w:t>Number of enforcement actions taken</w:t>
      </w:r>
    </w:p>
    <w:p w:rsidR="002E1045" w:rsidP="00793859" w:rsidRDefault="00623CFD" w14:paraId="111EC0EA" w14:textId="78A82631">
      <w:pPr>
        <w:pStyle w:val="ListParagraph"/>
        <w:numPr>
          <w:ilvl w:val="0"/>
          <w:numId w:val="5"/>
        </w:numPr>
        <w:spacing w:after="0"/>
        <w:rPr>
          <w:rFonts w:ascii="Arial" w:hAnsi="Arial" w:cs="Arial"/>
        </w:rPr>
      </w:pPr>
      <w:r>
        <w:rPr>
          <w:rFonts w:ascii="Arial" w:hAnsi="Arial" w:cs="Arial"/>
        </w:rPr>
        <w:t>N</w:t>
      </w:r>
      <w:r w:rsidR="000B6EBC">
        <w:rPr>
          <w:rFonts w:ascii="Arial" w:hAnsi="Arial" w:cs="Arial"/>
        </w:rPr>
        <w:t xml:space="preserve">umber of </w:t>
      </w:r>
      <w:r>
        <w:rPr>
          <w:rFonts w:ascii="Arial" w:hAnsi="Arial" w:cs="Arial"/>
        </w:rPr>
        <w:t>landlords</w:t>
      </w:r>
      <w:r w:rsidR="000B6EBC">
        <w:rPr>
          <w:rFonts w:ascii="Arial" w:hAnsi="Arial" w:cs="Arial"/>
        </w:rPr>
        <w:t xml:space="preserve"> attending training and engagement events</w:t>
      </w:r>
    </w:p>
    <w:p w:rsidRPr="009F145D" w:rsidR="00623CFD" w:rsidP="00793859" w:rsidRDefault="00C04DE0" w14:paraId="6D9E2934" w14:textId="330A5FBA">
      <w:pPr>
        <w:pStyle w:val="ListParagraph"/>
        <w:numPr>
          <w:ilvl w:val="0"/>
          <w:numId w:val="5"/>
        </w:numPr>
        <w:spacing w:after="0"/>
        <w:rPr>
          <w:rFonts w:ascii="Arial" w:hAnsi="Arial" w:cs="Arial"/>
        </w:rPr>
      </w:pPr>
      <w:r w:rsidRPr="009F145D">
        <w:rPr>
          <w:rFonts w:ascii="Arial" w:hAnsi="Arial" w:cs="Arial"/>
        </w:rPr>
        <w:t>D</w:t>
      </w:r>
      <w:r w:rsidRPr="009F145D" w:rsidR="00C32852">
        <w:rPr>
          <w:rFonts w:ascii="Arial" w:hAnsi="Arial" w:cs="Arial"/>
        </w:rPr>
        <w:t xml:space="preserve">isable </w:t>
      </w:r>
      <w:r w:rsidRPr="009F145D">
        <w:rPr>
          <w:rFonts w:ascii="Arial" w:hAnsi="Arial" w:cs="Arial"/>
        </w:rPr>
        <w:t>F</w:t>
      </w:r>
      <w:r w:rsidRPr="009F145D" w:rsidR="00C32852">
        <w:rPr>
          <w:rFonts w:ascii="Arial" w:hAnsi="Arial" w:cs="Arial"/>
        </w:rPr>
        <w:t xml:space="preserve">acilities </w:t>
      </w:r>
      <w:r w:rsidRPr="009F145D">
        <w:rPr>
          <w:rFonts w:ascii="Arial" w:hAnsi="Arial" w:cs="Arial"/>
        </w:rPr>
        <w:t>G</w:t>
      </w:r>
      <w:r w:rsidRPr="009F145D" w:rsidR="00C32852">
        <w:rPr>
          <w:rFonts w:ascii="Arial" w:hAnsi="Arial" w:cs="Arial"/>
        </w:rPr>
        <w:t>rant</w:t>
      </w:r>
      <w:r w:rsidRPr="009F145D">
        <w:rPr>
          <w:rFonts w:ascii="Arial" w:hAnsi="Arial" w:cs="Arial"/>
        </w:rPr>
        <w:t xml:space="preserve"> customer feedback </w:t>
      </w:r>
    </w:p>
    <w:p w:rsidRPr="009F145D" w:rsidR="0006649C" w:rsidP="00793859" w:rsidRDefault="0006649C" w14:paraId="4BC1C85C" w14:textId="3085D9B8">
      <w:pPr>
        <w:pStyle w:val="ListParagraph"/>
        <w:numPr>
          <w:ilvl w:val="0"/>
          <w:numId w:val="5"/>
        </w:numPr>
        <w:spacing w:after="0"/>
        <w:rPr>
          <w:rFonts w:ascii="Arial" w:hAnsi="Arial" w:cs="Arial"/>
        </w:rPr>
      </w:pPr>
      <w:r w:rsidRPr="009F145D">
        <w:rPr>
          <w:rFonts w:ascii="Arial" w:hAnsi="Arial" w:cs="Arial"/>
        </w:rPr>
        <w:t>Improved customer waiting time for adaptations in the private sector</w:t>
      </w:r>
    </w:p>
    <w:p w:rsidRPr="009F145D" w:rsidR="00CB7DB5" w:rsidP="00793859" w:rsidRDefault="0006649C" w14:paraId="16463D16" w14:textId="77777777">
      <w:pPr>
        <w:pStyle w:val="ListParagraph"/>
        <w:numPr>
          <w:ilvl w:val="0"/>
          <w:numId w:val="5"/>
        </w:numPr>
        <w:spacing w:after="0"/>
        <w:rPr>
          <w:rFonts w:ascii="Arial" w:hAnsi="Arial" w:cs="Arial"/>
        </w:rPr>
      </w:pPr>
      <w:r w:rsidRPr="009F145D">
        <w:rPr>
          <w:rFonts w:ascii="Arial" w:hAnsi="Arial" w:cs="Arial"/>
        </w:rPr>
        <w:t xml:space="preserve">Improved wellbeing for those </w:t>
      </w:r>
      <w:r w:rsidRPr="009F145D" w:rsidR="00CB7DB5">
        <w:rPr>
          <w:rFonts w:ascii="Arial" w:hAnsi="Arial" w:cs="Arial"/>
        </w:rPr>
        <w:t>who received an adaptation via the DFG service</w:t>
      </w:r>
    </w:p>
    <w:p w:rsidRPr="009F145D" w:rsidR="0006649C" w:rsidP="00793859" w:rsidRDefault="00CB7DB5" w14:paraId="4A7844C1" w14:textId="3032573D">
      <w:pPr>
        <w:pStyle w:val="ListParagraph"/>
        <w:numPr>
          <w:ilvl w:val="0"/>
          <w:numId w:val="5"/>
        </w:numPr>
        <w:spacing w:after="0"/>
        <w:rPr>
          <w:rFonts w:ascii="Arial" w:hAnsi="Arial" w:cs="Arial"/>
        </w:rPr>
      </w:pPr>
      <w:r w:rsidRPr="009F145D">
        <w:rPr>
          <w:rFonts w:ascii="Arial" w:hAnsi="Arial" w:cs="Arial"/>
        </w:rPr>
        <w:t>Reduced risk of falls, injuries and hospital admissions for</w:t>
      </w:r>
      <w:r w:rsidRPr="009F145D" w:rsidR="0006649C">
        <w:rPr>
          <w:rFonts w:ascii="Arial" w:hAnsi="Arial" w:cs="Arial"/>
        </w:rPr>
        <w:t xml:space="preserve"> </w:t>
      </w:r>
      <w:r w:rsidRPr="009F145D">
        <w:rPr>
          <w:rFonts w:ascii="Arial" w:hAnsi="Arial" w:cs="Arial"/>
        </w:rPr>
        <w:t>those who received an adaptation via the DFG service</w:t>
      </w:r>
      <w:r w:rsidR="00D937D2">
        <w:rPr>
          <w:rFonts w:ascii="Arial" w:hAnsi="Arial" w:cs="Arial"/>
        </w:rPr>
        <w:t>.</w:t>
      </w:r>
    </w:p>
    <w:p w:rsidR="00D937D2" w:rsidP="00793859" w:rsidRDefault="00D937D2" w14:paraId="62C5F6B0" w14:textId="77777777">
      <w:pPr>
        <w:spacing w:after="0"/>
        <w:rPr>
          <w:rFonts w:ascii="Arial" w:hAnsi="Arial" w:cs="Arial"/>
        </w:rPr>
      </w:pPr>
    </w:p>
    <w:p w:rsidR="004206F4" w:rsidP="00793859" w:rsidRDefault="004206F4" w14:paraId="31637297" w14:textId="0F8E57AB">
      <w:pPr>
        <w:spacing w:after="0"/>
        <w:rPr>
          <w:rFonts w:ascii="Arial" w:hAnsi="Arial" w:cs="Arial"/>
        </w:rPr>
      </w:pPr>
      <w:r>
        <w:rPr>
          <w:rFonts w:ascii="Arial" w:hAnsi="Arial" w:cs="Arial"/>
        </w:rPr>
        <w:t>KPIs will be used to benchmark performance against other local authorities and previous performance in Conwy.</w:t>
      </w:r>
    </w:p>
    <w:p w:rsidR="00D937D2" w:rsidP="00793859" w:rsidRDefault="00D937D2" w14:paraId="0B3F8433" w14:textId="77777777">
      <w:pPr>
        <w:spacing w:after="0"/>
        <w:rPr>
          <w:rFonts w:ascii="Arial" w:hAnsi="Arial" w:cs="Arial"/>
          <w:b/>
          <w:bCs/>
        </w:rPr>
      </w:pPr>
    </w:p>
    <w:p w:rsidRPr="00A6165D" w:rsidR="00801104" w:rsidP="00793859" w:rsidRDefault="00801104" w14:paraId="16A4D473" w14:textId="5F95A749">
      <w:pPr>
        <w:pStyle w:val="Heading2"/>
      </w:pPr>
      <w:bookmarkStart w:name="_Toc215586964" w:id="12"/>
      <w:r>
        <w:t>Partnership Working</w:t>
      </w:r>
      <w:bookmarkEnd w:id="12"/>
    </w:p>
    <w:p w:rsidR="00D937D2" w:rsidP="00793859" w:rsidRDefault="00D937D2" w14:paraId="2A668476" w14:textId="77777777">
      <w:pPr>
        <w:spacing w:after="0"/>
        <w:rPr>
          <w:rFonts w:ascii="Arial" w:hAnsi="Arial" w:cs="Arial"/>
        </w:rPr>
      </w:pPr>
    </w:p>
    <w:p w:rsidR="00801104" w:rsidP="00793859" w:rsidRDefault="00801104" w14:paraId="4C76F25A" w14:textId="1EBF427D">
      <w:pPr>
        <w:spacing w:after="0"/>
        <w:rPr>
          <w:rFonts w:ascii="Arial" w:hAnsi="Arial" w:cs="Arial"/>
        </w:rPr>
      </w:pPr>
      <w:r>
        <w:rPr>
          <w:rFonts w:ascii="Arial" w:hAnsi="Arial" w:cs="Arial"/>
        </w:rPr>
        <w:t>Effective collaboration is central to the Plan’s delivery.</w:t>
      </w:r>
      <w:r w:rsidRPr="00777CAC">
        <w:rPr>
          <w:rFonts w:ascii="Arial" w:hAnsi="Arial" w:cs="Arial"/>
        </w:rPr>
        <w:t xml:space="preserve"> </w:t>
      </w:r>
      <w:r>
        <w:rPr>
          <w:rFonts w:ascii="Arial" w:hAnsi="Arial" w:cs="Arial"/>
        </w:rPr>
        <w:t>Success will be measured by:</w:t>
      </w:r>
    </w:p>
    <w:p w:rsidR="00D937D2" w:rsidP="00793859" w:rsidRDefault="00D937D2" w14:paraId="7141B5DE" w14:textId="77777777">
      <w:pPr>
        <w:spacing w:after="0"/>
        <w:rPr>
          <w:rFonts w:ascii="Arial" w:hAnsi="Arial" w:cs="Arial"/>
        </w:rPr>
      </w:pPr>
    </w:p>
    <w:p w:rsidR="00801104" w:rsidP="00793859" w:rsidRDefault="00801104" w14:paraId="0A3C57D7" w14:textId="77777777">
      <w:pPr>
        <w:pStyle w:val="ListParagraph"/>
        <w:numPr>
          <w:ilvl w:val="0"/>
          <w:numId w:val="7"/>
        </w:numPr>
        <w:spacing w:after="0"/>
        <w:rPr>
          <w:rFonts w:ascii="Arial" w:hAnsi="Arial" w:cs="Arial"/>
        </w:rPr>
      </w:pPr>
      <w:r>
        <w:rPr>
          <w:rFonts w:ascii="Arial" w:hAnsi="Arial" w:cs="Arial"/>
        </w:rPr>
        <w:t>The number of active partnerships</w:t>
      </w:r>
    </w:p>
    <w:p w:rsidR="00801104" w:rsidP="00793859" w:rsidRDefault="00801104" w14:paraId="48029139" w14:textId="77777777">
      <w:pPr>
        <w:pStyle w:val="ListParagraph"/>
        <w:numPr>
          <w:ilvl w:val="0"/>
          <w:numId w:val="7"/>
        </w:numPr>
        <w:spacing w:after="0"/>
        <w:rPr>
          <w:rFonts w:ascii="Arial" w:hAnsi="Arial" w:cs="Arial"/>
        </w:rPr>
      </w:pPr>
      <w:r>
        <w:rPr>
          <w:rFonts w:ascii="Arial" w:hAnsi="Arial" w:cs="Arial"/>
        </w:rPr>
        <w:t>The impact of the partnership working</w:t>
      </w:r>
    </w:p>
    <w:p w:rsidRPr="00DF7711" w:rsidR="00801104" w:rsidP="00793859" w:rsidRDefault="00801104" w14:paraId="258A0170" w14:textId="2254F471">
      <w:pPr>
        <w:pStyle w:val="ListParagraph"/>
        <w:numPr>
          <w:ilvl w:val="0"/>
          <w:numId w:val="7"/>
        </w:numPr>
        <w:spacing w:after="0"/>
        <w:rPr>
          <w:rFonts w:ascii="Arial" w:hAnsi="Arial" w:cs="Arial"/>
          <w:b/>
          <w:bCs/>
        </w:rPr>
      </w:pPr>
      <w:r w:rsidRPr="00A327D7">
        <w:rPr>
          <w:rFonts w:ascii="Arial" w:hAnsi="Arial" w:cs="Arial"/>
        </w:rPr>
        <w:t>Any lessons learnt</w:t>
      </w:r>
      <w:r w:rsidR="00D937D2">
        <w:rPr>
          <w:rFonts w:ascii="Arial" w:hAnsi="Arial" w:cs="Arial"/>
        </w:rPr>
        <w:t>.</w:t>
      </w:r>
    </w:p>
    <w:p w:rsidR="00D937D2" w:rsidP="00793859" w:rsidRDefault="00D937D2" w14:paraId="4F38DCD0" w14:textId="77777777">
      <w:pPr>
        <w:spacing w:after="0"/>
        <w:rPr>
          <w:rFonts w:ascii="Arial" w:hAnsi="Arial" w:cs="Arial"/>
          <w:b/>
          <w:bCs/>
        </w:rPr>
      </w:pPr>
    </w:p>
    <w:p w:rsidR="00DF7711" w:rsidP="00793859" w:rsidRDefault="00DF7711" w14:paraId="7F7473A8" w14:textId="00EAEAA8">
      <w:pPr>
        <w:pStyle w:val="Heading2"/>
      </w:pPr>
      <w:bookmarkStart w:name="_Toc215586965" w:id="13"/>
      <w:r>
        <w:t>Communication</w:t>
      </w:r>
      <w:bookmarkEnd w:id="13"/>
    </w:p>
    <w:p w:rsidR="00D937D2" w:rsidP="00793859" w:rsidRDefault="00D937D2" w14:paraId="54CEFAB8" w14:textId="77777777">
      <w:pPr>
        <w:spacing w:after="0"/>
        <w:rPr>
          <w:rFonts w:ascii="Arial" w:hAnsi="Arial" w:cs="Arial"/>
        </w:rPr>
      </w:pPr>
    </w:p>
    <w:p w:rsidR="00DF7711" w:rsidP="00793859" w:rsidRDefault="00DF7711" w14:paraId="3185E7F2" w14:textId="537BF0BA">
      <w:pPr>
        <w:spacing w:after="0"/>
        <w:rPr>
          <w:rFonts w:ascii="Arial" w:hAnsi="Arial" w:cs="Arial"/>
        </w:rPr>
      </w:pPr>
      <w:r>
        <w:rPr>
          <w:rFonts w:ascii="Arial" w:hAnsi="Arial" w:cs="Arial"/>
        </w:rPr>
        <w:t>Data will be captured to evaluate the accessibility of the service and will consider the digital and direct engagement.</w:t>
      </w:r>
    </w:p>
    <w:p w:rsidR="00D937D2" w:rsidP="00793859" w:rsidRDefault="00D937D2" w14:paraId="627CE20F" w14:textId="77777777">
      <w:pPr>
        <w:spacing w:after="0"/>
        <w:rPr>
          <w:rFonts w:ascii="Arial" w:hAnsi="Arial" w:cs="Arial"/>
        </w:rPr>
      </w:pPr>
    </w:p>
    <w:p w:rsidRPr="00A60DB7" w:rsidR="00DF7711" w:rsidP="00793859" w:rsidRDefault="00DF7711" w14:paraId="792008C0" w14:textId="77777777">
      <w:pPr>
        <w:pStyle w:val="ListParagraph"/>
        <w:numPr>
          <w:ilvl w:val="0"/>
          <w:numId w:val="8"/>
        </w:numPr>
        <w:spacing w:after="0"/>
        <w:rPr>
          <w:rFonts w:ascii="Arial" w:hAnsi="Arial" w:cs="Arial"/>
        </w:rPr>
      </w:pPr>
      <w:r w:rsidRPr="00A60DB7">
        <w:rPr>
          <w:rFonts w:ascii="Arial" w:hAnsi="Arial" w:cs="Arial"/>
          <w:b/>
          <w:bCs/>
          <w:i/>
          <w:iCs/>
        </w:rPr>
        <w:t>Digital engagement</w:t>
      </w:r>
      <w:r w:rsidRPr="00A60DB7">
        <w:rPr>
          <w:rFonts w:ascii="Arial" w:hAnsi="Arial" w:cs="Arial"/>
        </w:rPr>
        <w:t xml:space="preserve"> </w:t>
      </w:r>
      <w:bookmarkStart w:name="_Hlk211880417" w:id="14"/>
      <w:r w:rsidRPr="00A60DB7">
        <w:rPr>
          <w:rFonts w:ascii="Arial" w:hAnsi="Arial" w:cs="Arial"/>
        </w:rPr>
        <w:t xml:space="preserve">will be a review of </w:t>
      </w:r>
      <w:bookmarkEnd w:id="14"/>
      <w:r w:rsidRPr="00A60DB7">
        <w:rPr>
          <w:rFonts w:ascii="Arial" w:hAnsi="Arial" w:cs="Arial"/>
        </w:rPr>
        <w:t xml:space="preserve">website analytics including webpage views and online contact form submissions. </w:t>
      </w:r>
    </w:p>
    <w:p w:rsidRPr="00890629" w:rsidR="00DF7711" w:rsidP="00793859" w:rsidRDefault="00DF7711" w14:paraId="2E90D2A2" w14:textId="7642B2C6">
      <w:pPr>
        <w:pStyle w:val="ListParagraph"/>
        <w:numPr>
          <w:ilvl w:val="0"/>
          <w:numId w:val="8"/>
        </w:numPr>
        <w:spacing w:after="0"/>
        <w:rPr>
          <w:rFonts w:ascii="Arial" w:hAnsi="Arial" w:cs="Arial"/>
          <w:b/>
          <w:bCs/>
        </w:rPr>
      </w:pPr>
      <w:r w:rsidRPr="00890629">
        <w:rPr>
          <w:rFonts w:ascii="Arial" w:hAnsi="Arial" w:cs="Arial"/>
          <w:b/>
          <w:bCs/>
          <w:i/>
          <w:iCs/>
        </w:rPr>
        <w:t>Direct engagement</w:t>
      </w:r>
      <w:r w:rsidRPr="00890629">
        <w:rPr>
          <w:rFonts w:ascii="Arial" w:hAnsi="Arial" w:cs="Arial"/>
        </w:rPr>
        <w:t xml:space="preserve"> will be a review of telephone enquiries, written correspondence and in-person meetings.</w:t>
      </w:r>
    </w:p>
    <w:p w:rsidRPr="00890629" w:rsidR="00890629" w:rsidP="00793859" w:rsidRDefault="00793859" w14:paraId="33021D9F" w14:textId="35B1C02F">
      <w:pPr>
        <w:pStyle w:val="ListParagraph"/>
        <w:spacing w:after="0"/>
        <w:rPr>
          <w:rFonts w:ascii="Arial" w:hAnsi="Arial" w:cs="Arial"/>
          <w:b/>
          <w:bCs/>
        </w:rPr>
      </w:pPr>
      <w:r>
        <w:rPr>
          <w:rFonts w:ascii="Arial" w:hAnsi="Arial" w:cs="Arial"/>
          <w:b/>
          <w:bCs/>
        </w:rPr>
        <w:br/>
      </w:r>
    </w:p>
    <w:p w:rsidR="001068DF" w:rsidP="00793859" w:rsidRDefault="00C7364E" w14:paraId="22BE0097" w14:textId="5F24341B">
      <w:pPr>
        <w:pStyle w:val="Heading1"/>
      </w:pPr>
      <w:bookmarkStart w:name="_Toc215586966" w:id="15"/>
      <w:r>
        <w:lastRenderedPageBreak/>
        <w:t>5</w:t>
      </w:r>
      <w:r>
        <w:tab/>
        <w:t>Implementation and Governance</w:t>
      </w:r>
      <w:bookmarkEnd w:id="15"/>
    </w:p>
    <w:p w:rsidR="00D937D2" w:rsidP="00793859" w:rsidRDefault="00D937D2" w14:paraId="51EC72A8" w14:textId="77777777">
      <w:pPr>
        <w:spacing w:after="0"/>
        <w:rPr>
          <w:rFonts w:ascii="Arial" w:hAnsi="Arial" w:cs="Arial"/>
        </w:rPr>
      </w:pPr>
    </w:p>
    <w:p w:rsidR="00957143" w:rsidP="00793859" w:rsidRDefault="00957143" w14:paraId="7411902A" w14:textId="6BF9317D">
      <w:pPr>
        <w:spacing w:after="0"/>
        <w:rPr>
          <w:rFonts w:ascii="Arial" w:hAnsi="Arial" w:cs="Arial"/>
        </w:rPr>
      </w:pPr>
      <w:r>
        <w:rPr>
          <w:rFonts w:ascii="Arial" w:hAnsi="Arial" w:cs="Arial"/>
        </w:rPr>
        <w:t xml:space="preserve">The successful delivery of the </w:t>
      </w:r>
      <w:r w:rsidR="004B33DE">
        <w:rPr>
          <w:rFonts w:ascii="Arial" w:hAnsi="Arial" w:cs="Arial"/>
        </w:rPr>
        <w:t xml:space="preserve">Private Sector </w:t>
      </w:r>
      <w:r w:rsidR="009F145D">
        <w:rPr>
          <w:rFonts w:ascii="Arial" w:hAnsi="Arial" w:cs="Arial"/>
        </w:rPr>
        <w:t xml:space="preserve">Housing </w:t>
      </w:r>
      <w:r w:rsidR="004B33DE">
        <w:rPr>
          <w:rFonts w:ascii="Arial" w:hAnsi="Arial" w:cs="Arial"/>
        </w:rPr>
        <w:t xml:space="preserve">Delivery </w:t>
      </w:r>
      <w:r w:rsidR="001C7238">
        <w:rPr>
          <w:rFonts w:ascii="Arial" w:hAnsi="Arial" w:cs="Arial"/>
        </w:rPr>
        <w:t>Plan</w:t>
      </w:r>
      <w:r>
        <w:rPr>
          <w:rFonts w:ascii="Arial" w:hAnsi="Arial" w:cs="Arial"/>
        </w:rPr>
        <w:t xml:space="preserve"> will be supported by</w:t>
      </w:r>
      <w:r w:rsidR="00524DCF">
        <w:rPr>
          <w:rFonts w:ascii="Arial" w:hAnsi="Arial" w:cs="Arial"/>
        </w:rPr>
        <w:t xml:space="preserve"> the</w:t>
      </w:r>
      <w:r>
        <w:rPr>
          <w:rFonts w:ascii="Arial" w:hAnsi="Arial" w:cs="Arial"/>
        </w:rPr>
        <w:t xml:space="preserve"> </w:t>
      </w:r>
      <w:r w:rsidR="00524DCF">
        <w:rPr>
          <w:rFonts w:ascii="Arial" w:hAnsi="Arial" w:cs="Arial"/>
        </w:rPr>
        <w:t>Rapid Rehousing Working Group, a partnership that brings together key stakeholders involved in housing, housing related support services, social care, human resources, community development, health and other public services. The group will meet quarterly to coordinate activity, share best practice and monitor progress across the four focus areas. To</w:t>
      </w:r>
      <w:r>
        <w:rPr>
          <w:rFonts w:ascii="Arial" w:hAnsi="Arial" w:cs="Arial"/>
        </w:rPr>
        <w:t xml:space="preserve"> ensure transparency and accountability, progress against the Plan will be reported annually to the Housing and Homelessness Board. This will include updates on:</w:t>
      </w:r>
    </w:p>
    <w:p w:rsidR="00D937D2" w:rsidP="00793859" w:rsidRDefault="00D937D2" w14:paraId="10F946EC" w14:textId="77777777">
      <w:pPr>
        <w:spacing w:after="0"/>
        <w:rPr>
          <w:rFonts w:ascii="Arial" w:hAnsi="Arial" w:cs="Arial"/>
        </w:rPr>
      </w:pPr>
    </w:p>
    <w:p w:rsidRPr="00D937D2" w:rsidR="00957143" w:rsidP="00793859" w:rsidRDefault="0040702E" w14:paraId="5811E78A" w14:textId="34B8C531">
      <w:pPr>
        <w:pStyle w:val="ListParagraph"/>
        <w:numPr>
          <w:ilvl w:val="0"/>
          <w:numId w:val="4"/>
        </w:numPr>
        <w:spacing w:after="0"/>
        <w:rPr>
          <w:rFonts w:ascii="Arial" w:hAnsi="Arial" w:cs="Arial"/>
        </w:rPr>
      </w:pPr>
      <w:r>
        <w:rPr>
          <w:rFonts w:ascii="Arial" w:hAnsi="Arial" w:cs="Arial"/>
        </w:rPr>
        <w:t>S</w:t>
      </w:r>
      <w:r w:rsidR="008B4B06">
        <w:rPr>
          <w:rFonts w:ascii="Arial" w:hAnsi="Arial" w:cs="Arial"/>
        </w:rPr>
        <w:t>ervice key performance indicators</w:t>
      </w:r>
    </w:p>
    <w:p w:rsidRPr="00D937D2" w:rsidR="00017083" w:rsidP="00793859" w:rsidRDefault="00957143" w14:paraId="0CADDD7C" w14:textId="5522AC09">
      <w:pPr>
        <w:pStyle w:val="ListParagraph"/>
        <w:numPr>
          <w:ilvl w:val="0"/>
          <w:numId w:val="4"/>
        </w:numPr>
        <w:spacing w:after="0"/>
        <w:rPr>
          <w:rFonts w:ascii="Arial" w:hAnsi="Arial" w:cs="Arial"/>
        </w:rPr>
      </w:pPr>
      <w:r w:rsidRPr="00705A6F">
        <w:rPr>
          <w:rFonts w:ascii="Arial" w:hAnsi="Arial" w:cs="Arial"/>
        </w:rPr>
        <w:t xml:space="preserve">Outcomes achieved within each </w:t>
      </w:r>
      <w:r w:rsidRPr="00705A6F" w:rsidR="00E34491">
        <w:rPr>
          <w:rFonts w:ascii="Arial" w:hAnsi="Arial" w:cs="Arial"/>
        </w:rPr>
        <w:t>focus area</w:t>
      </w:r>
      <w:r w:rsidRPr="00705A6F">
        <w:rPr>
          <w:rFonts w:ascii="Arial" w:hAnsi="Arial" w:cs="Arial"/>
        </w:rPr>
        <w:t xml:space="preserve"> including partnership activity </w:t>
      </w:r>
    </w:p>
    <w:p w:rsidRPr="00D937D2" w:rsidR="00017083" w:rsidP="00793859" w:rsidRDefault="00017083" w14:paraId="01ABC1F3" w14:textId="7FC893A4">
      <w:pPr>
        <w:pStyle w:val="ListParagraph"/>
        <w:numPr>
          <w:ilvl w:val="0"/>
          <w:numId w:val="4"/>
        </w:numPr>
        <w:spacing w:after="0"/>
        <w:rPr>
          <w:rFonts w:ascii="Arial" w:hAnsi="Arial" w:cs="Arial"/>
        </w:rPr>
      </w:pPr>
      <w:r w:rsidRPr="00A60450">
        <w:rPr>
          <w:rFonts w:ascii="Arial" w:hAnsi="Arial" w:cs="Arial"/>
        </w:rPr>
        <w:t>Accessibility of the service</w:t>
      </w:r>
    </w:p>
    <w:p w:rsidR="00017083" w:rsidP="00793859" w:rsidRDefault="00017083" w14:paraId="353C28FF" w14:textId="4CD4FF5A">
      <w:pPr>
        <w:pStyle w:val="ListParagraph"/>
        <w:numPr>
          <w:ilvl w:val="0"/>
          <w:numId w:val="4"/>
        </w:numPr>
        <w:spacing w:after="0"/>
        <w:rPr>
          <w:rFonts w:ascii="Arial" w:hAnsi="Arial" w:cs="Arial"/>
        </w:rPr>
      </w:pPr>
      <w:r>
        <w:rPr>
          <w:rFonts w:ascii="Arial" w:hAnsi="Arial" w:cs="Arial"/>
        </w:rPr>
        <w:t>Customer satisfaction and feedback</w:t>
      </w:r>
      <w:r w:rsidR="00D937D2">
        <w:rPr>
          <w:rFonts w:ascii="Arial" w:hAnsi="Arial" w:cs="Arial"/>
        </w:rPr>
        <w:t>.</w:t>
      </w:r>
    </w:p>
    <w:p w:rsidRPr="00705A6F" w:rsidR="00017083" w:rsidP="00793859" w:rsidRDefault="00017083" w14:paraId="23FBC47E" w14:textId="77777777">
      <w:pPr>
        <w:pStyle w:val="ListParagraph"/>
        <w:spacing w:after="0"/>
        <w:rPr>
          <w:rFonts w:ascii="Arial" w:hAnsi="Arial" w:cs="Arial"/>
        </w:rPr>
      </w:pPr>
    </w:p>
    <w:p w:rsidRPr="00C421D4" w:rsidR="00957143" w:rsidP="00793859" w:rsidRDefault="00957143" w14:paraId="775F668C" w14:textId="77777777">
      <w:pPr>
        <w:spacing w:after="0"/>
        <w:rPr>
          <w:rFonts w:ascii="Arial" w:hAnsi="Arial" w:cs="Arial"/>
        </w:rPr>
      </w:pPr>
      <w:r>
        <w:rPr>
          <w:rFonts w:ascii="Arial" w:hAnsi="Arial" w:cs="Arial"/>
        </w:rPr>
        <w:t xml:space="preserve">This governance structure ensures that the Plan is aligned with strategic priorities, is delivering measurable outcomes and value for money. </w:t>
      </w:r>
    </w:p>
    <w:p w:rsidR="001943B4" w:rsidP="00D937D2" w:rsidRDefault="001943B4" w14:paraId="200E5B72" w14:textId="77777777">
      <w:pPr>
        <w:spacing w:after="0" w:line="240" w:lineRule="auto"/>
        <w:rPr>
          <w:rFonts w:ascii="Arial" w:hAnsi="Arial" w:cs="Arial"/>
          <w:i/>
          <w:iCs/>
        </w:rPr>
        <w:sectPr w:rsidR="001943B4" w:rsidSect="008674F6">
          <w:footerReference w:type="default" r:id="rId10"/>
          <w:pgSz w:w="11906" w:h="16838"/>
          <w:pgMar w:top="1440" w:right="1440" w:bottom="1440" w:left="1440" w:header="708" w:footer="708" w:gutter="0"/>
          <w:pgNumType w:start="1"/>
          <w:cols w:space="708"/>
          <w:docGrid w:linePitch="360"/>
        </w:sectPr>
      </w:pPr>
    </w:p>
    <w:p w:rsidRPr="00601589" w:rsidR="00D937D2" w:rsidP="00793859" w:rsidRDefault="00D937D2" w14:paraId="4F00ED6B" w14:textId="6C1D4D2E">
      <w:pPr>
        <w:pStyle w:val="Heading1"/>
      </w:pPr>
      <w:bookmarkStart w:name="_Toc215586967" w:id="16"/>
      <w:r>
        <w:lastRenderedPageBreak/>
        <w:t xml:space="preserve">Appendix 1 - </w:t>
      </w:r>
      <w:r w:rsidRPr="00DF6CB7" w:rsidR="001943B4">
        <w:t>Action Plan</w:t>
      </w:r>
      <w:bookmarkEnd w:id="16"/>
    </w:p>
    <w:p w:rsidRPr="00AA5931" w:rsidR="00601589" w:rsidP="00601589" w:rsidRDefault="00601589" w14:paraId="76115B4B" w14:textId="77777777">
      <w:pPr>
        <w:pStyle w:val="Header1"/>
      </w:pPr>
    </w:p>
    <w:tbl>
      <w:tblPr>
        <w:tblStyle w:val="TableGrid"/>
        <w:tblW w:w="14024" w:type="dxa"/>
        <w:tblBorders>
          <w:top w:val="single" w:color="1BAF90" w:sz="8" w:space="0"/>
          <w:left w:val="single" w:color="1BAF90" w:sz="8" w:space="0"/>
          <w:bottom w:val="single" w:color="1BAF90" w:sz="8" w:space="0"/>
          <w:right w:val="single" w:color="1BAF90" w:sz="8" w:space="0"/>
          <w:insideH w:val="single" w:color="1BAF90" w:sz="8" w:space="0"/>
          <w:insideV w:val="single" w:color="1BAF90" w:sz="8" w:space="0"/>
        </w:tblBorders>
        <w:tblCellMar>
          <w:top w:w="85" w:type="dxa"/>
          <w:left w:w="85" w:type="dxa"/>
          <w:bottom w:w="85" w:type="dxa"/>
          <w:right w:w="85" w:type="dxa"/>
        </w:tblCellMar>
        <w:tblLook w:val="04A0" w:firstRow="1" w:lastRow="0" w:firstColumn="1" w:lastColumn="0" w:noHBand="0" w:noVBand="1"/>
      </w:tblPr>
      <w:tblGrid>
        <w:gridCol w:w="840"/>
        <w:gridCol w:w="3261"/>
        <w:gridCol w:w="3402"/>
        <w:gridCol w:w="3260"/>
        <w:gridCol w:w="1560"/>
        <w:gridCol w:w="1701"/>
      </w:tblGrid>
      <w:tr w:rsidR="00601589" w:rsidTr="000C111C" w14:paraId="25BDE5B6" w14:textId="77777777">
        <w:trPr>
          <w:cantSplit/>
        </w:trPr>
        <w:tc>
          <w:tcPr>
            <w:tcW w:w="840" w:type="dxa"/>
            <w:shd w:val="clear" w:color="auto" w:fill="1BAF90"/>
          </w:tcPr>
          <w:p w:rsidRPr="00AA5931" w:rsidR="00601589" w:rsidP="00793859" w:rsidRDefault="00601589" w14:paraId="12E8354C" w14:textId="77777777">
            <w:pPr>
              <w:spacing w:line="259" w:lineRule="auto"/>
              <w:rPr>
                <w:rFonts w:ascii="Arial" w:hAnsi="Arial" w:cs="Arial"/>
                <w:b/>
                <w:bCs/>
                <w:color w:val="FFFFFF" w:themeColor="background1"/>
              </w:rPr>
            </w:pPr>
            <w:r w:rsidRPr="00AA5931">
              <w:rPr>
                <w:rFonts w:ascii="Arial" w:hAnsi="Arial" w:cs="Arial"/>
                <w:b/>
                <w:bCs/>
                <w:color w:val="FFFFFF" w:themeColor="background1"/>
              </w:rPr>
              <w:t>Area</w:t>
            </w:r>
          </w:p>
        </w:tc>
        <w:tc>
          <w:tcPr>
            <w:tcW w:w="3261" w:type="dxa"/>
            <w:shd w:val="clear" w:color="auto" w:fill="1BAF90"/>
          </w:tcPr>
          <w:p w:rsidRPr="00AA5931" w:rsidR="00601589" w:rsidP="00793859" w:rsidRDefault="00601589" w14:paraId="7151718F" w14:textId="77777777">
            <w:pPr>
              <w:spacing w:line="259" w:lineRule="auto"/>
              <w:rPr>
                <w:rFonts w:ascii="Arial" w:hAnsi="Arial" w:cs="Arial"/>
                <w:b/>
                <w:bCs/>
                <w:color w:val="FFFFFF" w:themeColor="background1"/>
              </w:rPr>
            </w:pPr>
            <w:r w:rsidRPr="00AA5931">
              <w:rPr>
                <w:rFonts w:ascii="Arial" w:hAnsi="Arial" w:cs="Arial"/>
                <w:b/>
                <w:bCs/>
                <w:color w:val="FFFFFF" w:themeColor="background1"/>
              </w:rPr>
              <w:t>Action</w:t>
            </w:r>
          </w:p>
        </w:tc>
        <w:tc>
          <w:tcPr>
            <w:tcW w:w="3402" w:type="dxa"/>
            <w:shd w:val="clear" w:color="auto" w:fill="1BAF90"/>
          </w:tcPr>
          <w:p w:rsidRPr="00AA5931" w:rsidR="00601589" w:rsidP="00793859" w:rsidRDefault="00601589" w14:paraId="5C7E69B1" w14:textId="77777777">
            <w:pPr>
              <w:spacing w:line="259" w:lineRule="auto"/>
              <w:rPr>
                <w:rFonts w:ascii="Arial" w:hAnsi="Arial" w:cs="Arial"/>
                <w:b/>
                <w:bCs/>
                <w:color w:val="FFFFFF" w:themeColor="background1"/>
              </w:rPr>
            </w:pPr>
            <w:r w:rsidRPr="00AA5931">
              <w:rPr>
                <w:rFonts w:ascii="Arial" w:hAnsi="Arial" w:cs="Arial"/>
                <w:b/>
                <w:bCs/>
                <w:color w:val="FFFFFF" w:themeColor="background1"/>
              </w:rPr>
              <w:t xml:space="preserve">Output </w:t>
            </w:r>
          </w:p>
        </w:tc>
        <w:tc>
          <w:tcPr>
            <w:tcW w:w="3260" w:type="dxa"/>
            <w:shd w:val="clear" w:color="auto" w:fill="1BAF90"/>
          </w:tcPr>
          <w:p w:rsidRPr="00AA5931" w:rsidR="00601589" w:rsidP="00793859" w:rsidRDefault="00601589" w14:paraId="78A9971F" w14:textId="77777777">
            <w:pPr>
              <w:spacing w:line="259" w:lineRule="auto"/>
              <w:rPr>
                <w:rFonts w:ascii="Arial" w:hAnsi="Arial" w:cs="Arial"/>
                <w:b/>
                <w:bCs/>
                <w:color w:val="FFFFFF" w:themeColor="background1"/>
              </w:rPr>
            </w:pPr>
            <w:r w:rsidRPr="00AA5931">
              <w:rPr>
                <w:rFonts w:ascii="Arial" w:hAnsi="Arial" w:cs="Arial"/>
                <w:b/>
                <w:bCs/>
                <w:color w:val="FFFFFF" w:themeColor="background1"/>
              </w:rPr>
              <w:t xml:space="preserve">Outcomes </w:t>
            </w:r>
          </w:p>
        </w:tc>
        <w:tc>
          <w:tcPr>
            <w:tcW w:w="1560" w:type="dxa"/>
            <w:shd w:val="clear" w:color="auto" w:fill="1BAF90"/>
          </w:tcPr>
          <w:p w:rsidRPr="00AA5931" w:rsidR="00601589" w:rsidP="00793859" w:rsidRDefault="00601589" w14:paraId="1D1768B7" w14:textId="77777777">
            <w:pPr>
              <w:spacing w:line="259" w:lineRule="auto"/>
              <w:rPr>
                <w:rFonts w:ascii="Arial" w:hAnsi="Arial" w:cs="Arial"/>
                <w:b/>
                <w:bCs/>
                <w:color w:val="FFFFFF" w:themeColor="background1"/>
              </w:rPr>
            </w:pPr>
            <w:r w:rsidRPr="00AA5931">
              <w:rPr>
                <w:rFonts w:ascii="Arial" w:hAnsi="Arial" w:cs="Arial"/>
                <w:b/>
                <w:bCs/>
                <w:color w:val="FFFFFF" w:themeColor="background1"/>
              </w:rPr>
              <w:t>Responsible Officer</w:t>
            </w:r>
          </w:p>
        </w:tc>
        <w:tc>
          <w:tcPr>
            <w:tcW w:w="1701" w:type="dxa"/>
            <w:shd w:val="clear" w:color="auto" w:fill="1BAF90"/>
          </w:tcPr>
          <w:p w:rsidRPr="00AA5931" w:rsidR="00601589" w:rsidP="00793859" w:rsidRDefault="00601589" w14:paraId="2618F00D" w14:textId="77777777">
            <w:pPr>
              <w:spacing w:line="259" w:lineRule="auto"/>
              <w:rPr>
                <w:rFonts w:ascii="Arial" w:hAnsi="Arial" w:cs="Arial"/>
                <w:b/>
                <w:bCs/>
                <w:color w:val="FFFFFF" w:themeColor="background1"/>
              </w:rPr>
            </w:pPr>
            <w:r w:rsidRPr="00AA5931">
              <w:rPr>
                <w:rFonts w:ascii="Arial" w:hAnsi="Arial" w:cs="Arial"/>
                <w:b/>
                <w:bCs/>
                <w:color w:val="FFFFFF" w:themeColor="background1"/>
              </w:rPr>
              <w:t>Timescale</w:t>
            </w:r>
          </w:p>
        </w:tc>
      </w:tr>
      <w:tr w:rsidR="00601589" w:rsidTr="000C111C" w14:paraId="52A6995C" w14:textId="77777777">
        <w:trPr>
          <w:cantSplit/>
          <w:trHeight w:val="300"/>
        </w:trPr>
        <w:tc>
          <w:tcPr>
            <w:tcW w:w="840" w:type="dxa"/>
          </w:tcPr>
          <w:p w:rsidR="00601589" w:rsidP="00793859" w:rsidRDefault="00601589" w14:paraId="2E7D06B4" w14:textId="60092C46">
            <w:pPr>
              <w:spacing w:line="259" w:lineRule="auto"/>
              <w:rPr>
                <w:rFonts w:ascii="Arial" w:hAnsi="Arial" w:cs="Arial"/>
              </w:rPr>
            </w:pPr>
            <w:r>
              <w:rPr>
                <w:rFonts w:ascii="Arial" w:hAnsi="Arial" w:cs="Arial"/>
              </w:rPr>
              <w:t>1</w:t>
            </w:r>
          </w:p>
        </w:tc>
        <w:tc>
          <w:tcPr>
            <w:tcW w:w="3261" w:type="dxa"/>
          </w:tcPr>
          <w:p w:rsidR="00601589" w:rsidP="00793859" w:rsidRDefault="00601589" w14:paraId="0D76E609" w14:textId="5AF46ADF">
            <w:pPr>
              <w:spacing w:line="259" w:lineRule="auto"/>
              <w:rPr>
                <w:rFonts w:ascii="Arial" w:hAnsi="Arial" w:cs="Arial"/>
              </w:rPr>
            </w:pPr>
            <w:r>
              <w:rPr>
                <w:rFonts w:ascii="Arial" w:hAnsi="Arial" w:cs="Arial"/>
              </w:rPr>
              <w:t>Undertake targeted compliance checks in areas with high levels of complaints or known non-compliance</w:t>
            </w:r>
          </w:p>
        </w:tc>
        <w:tc>
          <w:tcPr>
            <w:tcW w:w="3402" w:type="dxa"/>
          </w:tcPr>
          <w:p w:rsidR="00601589" w:rsidP="00793859" w:rsidRDefault="00601589" w14:paraId="2563950D" w14:textId="6DB4C700">
            <w:pPr>
              <w:spacing w:line="259" w:lineRule="auto"/>
              <w:rPr>
                <w:rFonts w:ascii="Arial" w:hAnsi="Arial" w:cs="Arial"/>
              </w:rPr>
            </w:pPr>
            <w:r>
              <w:rPr>
                <w:rFonts w:ascii="Arial" w:hAnsi="Arial" w:cs="Arial"/>
              </w:rPr>
              <w:t>Compliance report and enforcement action</w:t>
            </w:r>
          </w:p>
        </w:tc>
        <w:tc>
          <w:tcPr>
            <w:tcW w:w="3260" w:type="dxa"/>
          </w:tcPr>
          <w:p w:rsidR="00601589" w:rsidP="00793859" w:rsidRDefault="00601589" w14:paraId="4B432A9C" w14:textId="77777777">
            <w:pPr>
              <w:spacing w:line="259" w:lineRule="auto"/>
              <w:rPr>
                <w:rFonts w:ascii="Arial" w:hAnsi="Arial" w:cs="Arial"/>
              </w:rPr>
            </w:pPr>
            <w:r>
              <w:rPr>
                <w:rFonts w:ascii="Arial" w:hAnsi="Arial" w:cs="Arial"/>
              </w:rPr>
              <w:t>Improved housing standards</w:t>
            </w:r>
          </w:p>
          <w:p w:rsidR="00601589" w:rsidP="00793859" w:rsidRDefault="00601589" w14:paraId="6AC673D1" w14:textId="77777777">
            <w:pPr>
              <w:spacing w:line="259" w:lineRule="auto"/>
              <w:rPr>
                <w:rFonts w:ascii="Arial" w:hAnsi="Arial" w:cs="Arial"/>
              </w:rPr>
            </w:pPr>
          </w:p>
          <w:p w:rsidR="00601589" w:rsidP="00793859" w:rsidRDefault="00601589" w14:paraId="2CE1A026" w14:textId="5A560E43">
            <w:pPr>
              <w:spacing w:line="259" w:lineRule="auto"/>
              <w:rPr>
                <w:rFonts w:ascii="Arial" w:hAnsi="Arial" w:cs="Arial"/>
              </w:rPr>
            </w:pPr>
            <w:r>
              <w:rPr>
                <w:rFonts w:ascii="Arial" w:hAnsi="Arial" w:cs="Arial"/>
              </w:rPr>
              <w:t xml:space="preserve">Increased landlord registration </w:t>
            </w:r>
          </w:p>
        </w:tc>
        <w:tc>
          <w:tcPr>
            <w:tcW w:w="1560" w:type="dxa"/>
          </w:tcPr>
          <w:p w:rsidR="00601589" w:rsidP="00793859" w:rsidRDefault="00601589" w14:paraId="618B6D75" w14:textId="326E0B90">
            <w:pPr>
              <w:spacing w:line="259" w:lineRule="auto"/>
              <w:rPr>
                <w:rFonts w:ascii="Arial" w:hAnsi="Arial" w:cs="Arial"/>
              </w:rPr>
            </w:pPr>
            <w:r>
              <w:rPr>
                <w:rFonts w:ascii="Arial" w:hAnsi="Arial" w:cs="Arial"/>
              </w:rPr>
              <w:t>Housing Strategy Manager</w:t>
            </w:r>
          </w:p>
        </w:tc>
        <w:tc>
          <w:tcPr>
            <w:tcW w:w="1701" w:type="dxa"/>
          </w:tcPr>
          <w:p w:rsidR="00601589" w:rsidP="00793859" w:rsidRDefault="00601589" w14:paraId="3CF308D5" w14:textId="42BE6A61">
            <w:pPr>
              <w:spacing w:line="259" w:lineRule="auto"/>
              <w:rPr>
                <w:rFonts w:ascii="Arial" w:hAnsi="Arial" w:cs="Arial"/>
              </w:rPr>
            </w:pPr>
            <w:r>
              <w:rPr>
                <w:rFonts w:ascii="Arial" w:hAnsi="Arial" w:cs="Arial"/>
              </w:rPr>
              <w:t>December 2026</w:t>
            </w:r>
          </w:p>
        </w:tc>
      </w:tr>
      <w:tr w:rsidR="00601589" w:rsidTr="000C111C" w14:paraId="277C8906" w14:textId="77777777">
        <w:trPr>
          <w:cantSplit/>
          <w:trHeight w:val="300"/>
        </w:trPr>
        <w:tc>
          <w:tcPr>
            <w:tcW w:w="840" w:type="dxa"/>
          </w:tcPr>
          <w:p w:rsidR="00601589" w:rsidP="00793859" w:rsidRDefault="00601589" w14:paraId="107A2C74" w14:textId="6FA174FB">
            <w:pPr>
              <w:spacing w:line="259" w:lineRule="auto"/>
              <w:rPr>
                <w:rFonts w:ascii="Arial" w:hAnsi="Arial" w:cs="Arial"/>
              </w:rPr>
            </w:pPr>
            <w:r>
              <w:rPr>
                <w:rFonts w:ascii="Arial" w:hAnsi="Arial" w:cs="Arial"/>
              </w:rPr>
              <w:t>2</w:t>
            </w:r>
          </w:p>
        </w:tc>
        <w:tc>
          <w:tcPr>
            <w:tcW w:w="3261" w:type="dxa"/>
          </w:tcPr>
          <w:p w:rsidR="00601589" w:rsidP="00793859" w:rsidRDefault="00601589" w14:paraId="3A081B6F" w14:textId="2011BE2B">
            <w:pPr>
              <w:spacing w:line="259" w:lineRule="auto"/>
              <w:rPr>
                <w:rFonts w:ascii="Arial" w:hAnsi="Arial" w:cs="Arial"/>
              </w:rPr>
            </w:pPr>
            <w:r>
              <w:rPr>
                <w:rFonts w:ascii="Arial" w:hAnsi="Arial" w:cs="Arial"/>
              </w:rPr>
              <w:t xml:space="preserve">Establish a landlord point of contact within CCBC </w:t>
            </w:r>
          </w:p>
        </w:tc>
        <w:tc>
          <w:tcPr>
            <w:tcW w:w="3402" w:type="dxa"/>
          </w:tcPr>
          <w:p w:rsidR="00601589" w:rsidP="00793859" w:rsidRDefault="00601589" w14:paraId="64113B20" w14:textId="63B92A32">
            <w:pPr>
              <w:spacing w:line="259" w:lineRule="auto"/>
              <w:rPr>
                <w:rFonts w:ascii="Arial" w:hAnsi="Arial" w:cs="Arial"/>
              </w:rPr>
            </w:pPr>
            <w:r>
              <w:rPr>
                <w:rFonts w:ascii="Arial" w:hAnsi="Arial" w:cs="Arial"/>
              </w:rPr>
              <w:t>Named Officer and contact details published</w:t>
            </w:r>
          </w:p>
        </w:tc>
        <w:tc>
          <w:tcPr>
            <w:tcW w:w="3260" w:type="dxa"/>
          </w:tcPr>
          <w:p w:rsidR="00601589" w:rsidP="00793859" w:rsidRDefault="00601589" w14:paraId="0416379C" w14:textId="5194B14E">
            <w:pPr>
              <w:spacing w:line="259" w:lineRule="auto"/>
              <w:rPr>
                <w:rFonts w:ascii="Arial" w:hAnsi="Arial" w:cs="Arial"/>
              </w:rPr>
            </w:pPr>
            <w:r>
              <w:rPr>
                <w:rFonts w:ascii="Arial" w:hAnsi="Arial" w:cs="Arial"/>
              </w:rPr>
              <w:t>Improved communication and support for landlords</w:t>
            </w:r>
          </w:p>
        </w:tc>
        <w:tc>
          <w:tcPr>
            <w:tcW w:w="1560" w:type="dxa"/>
          </w:tcPr>
          <w:p w:rsidR="00601589" w:rsidP="00793859" w:rsidRDefault="00601589" w14:paraId="63600E3F" w14:textId="5062E1D0">
            <w:pPr>
              <w:spacing w:line="259" w:lineRule="auto"/>
              <w:rPr>
                <w:rFonts w:ascii="Arial" w:hAnsi="Arial" w:cs="Arial"/>
              </w:rPr>
            </w:pPr>
            <w:r w:rsidRPr="001F6E63">
              <w:rPr>
                <w:rFonts w:ascii="Arial" w:hAnsi="Arial" w:cs="Arial"/>
              </w:rPr>
              <w:t>Housing Strategy Manager</w:t>
            </w:r>
          </w:p>
        </w:tc>
        <w:tc>
          <w:tcPr>
            <w:tcW w:w="1701" w:type="dxa"/>
          </w:tcPr>
          <w:p w:rsidR="00601589" w:rsidP="00793859" w:rsidRDefault="00601589" w14:paraId="770F7807" w14:textId="7C7DD8A7">
            <w:pPr>
              <w:spacing w:line="259" w:lineRule="auto"/>
              <w:rPr>
                <w:rFonts w:ascii="Arial" w:hAnsi="Arial" w:cs="Arial"/>
              </w:rPr>
            </w:pPr>
            <w:r>
              <w:rPr>
                <w:rFonts w:ascii="Arial" w:hAnsi="Arial" w:cs="Arial"/>
              </w:rPr>
              <w:t>June 2026</w:t>
            </w:r>
          </w:p>
        </w:tc>
      </w:tr>
      <w:tr w:rsidR="00601589" w:rsidTr="000C111C" w14:paraId="2B5C74EC" w14:textId="77777777">
        <w:trPr>
          <w:cantSplit/>
          <w:trHeight w:val="300"/>
        </w:trPr>
        <w:tc>
          <w:tcPr>
            <w:tcW w:w="840" w:type="dxa"/>
          </w:tcPr>
          <w:p w:rsidR="00601589" w:rsidP="00793859" w:rsidRDefault="00601589" w14:paraId="63D8F82C" w14:textId="77777777">
            <w:pPr>
              <w:spacing w:line="259" w:lineRule="auto"/>
              <w:rPr>
                <w:rFonts w:ascii="Arial" w:hAnsi="Arial" w:cs="Arial"/>
              </w:rPr>
            </w:pPr>
          </w:p>
        </w:tc>
        <w:tc>
          <w:tcPr>
            <w:tcW w:w="3261" w:type="dxa"/>
          </w:tcPr>
          <w:p w:rsidR="00601589" w:rsidP="00793859" w:rsidRDefault="00601589" w14:paraId="15B58F99" w14:textId="14FE5A27">
            <w:pPr>
              <w:spacing w:line="259" w:lineRule="auto"/>
              <w:rPr>
                <w:rFonts w:ascii="Arial" w:hAnsi="Arial" w:cs="Arial"/>
              </w:rPr>
            </w:pPr>
            <w:r>
              <w:rPr>
                <w:rFonts w:ascii="Arial" w:hAnsi="Arial" w:cs="Arial"/>
              </w:rPr>
              <w:t>Develop and implement a landlord communication plan</w:t>
            </w:r>
          </w:p>
        </w:tc>
        <w:tc>
          <w:tcPr>
            <w:tcW w:w="3402" w:type="dxa"/>
          </w:tcPr>
          <w:p w:rsidR="00601589" w:rsidP="00793859" w:rsidRDefault="00601589" w14:paraId="71528B5D" w14:textId="7CD54A87">
            <w:pPr>
              <w:spacing w:line="259" w:lineRule="auto"/>
              <w:rPr>
                <w:rFonts w:ascii="Arial" w:hAnsi="Arial" w:cs="Arial"/>
              </w:rPr>
            </w:pPr>
            <w:r>
              <w:rPr>
                <w:rFonts w:ascii="Arial" w:hAnsi="Arial" w:cs="Arial"/>
              </w:rPr>
              <w:t>Communication Plan in place</w:t>
            </w:r>
          </w:p>
        </w:tc>
        <w:tc>
          <w:tcPr>
            <w:tcW w:w="3260" w:type="dxa"/>
          </w:tcPr>
          <w:p w:rsidR="00601589" w:rsidP="00793859" w:rsidRDefault="00601589" w14:paraId="06B96420" w14:textId="1D991E5F">
            <w:pPr>
              <w:spacing w:line="259" w:lineRule="auto"/>
              <w:rPr>
                <w:rFonts w:ascii="Arial" w:hAnsi="Arial" w:cs="Arial"/>
              </w:rPr>
            </w:pPr>
            <w:r>
              <w:rPr>
                <w:rFonts w:ascii="Arial" w:hAnsi="Arial" w:cs="Arial"/>
              </w:rPr>
              <w:t xml:space="preserve">Increased landlord engagement and awareness of responsibilities </w:t>
            </w:r>
          </w:p>
        </w:tc>
        <w:tc>
          <w:tcPr>
            <w:tcW w:w="1560" w:type="dxa"/>
          </w:tcPr>
          <w:p w:rsidRPr="001F6E63" w:rsidR="00601589" w:rsidP="00793859" w:rsidRDefault="00601589" w14:paraId="1142E47D" w14:textId="162EE9C5">
            <w:pPr>
              <w:spacing w:line="259" w:lineRule="auto"/>
              <w:rPr>
                <w:rFonts w:ascii="Arial" w:hAnsi="Arial" w:cs="Arial"/>
              </w:rPr>
            </w:pPr>
            <w:r w:rsidRPr="001F6E63">
              <w:rPr>
                <w:rFonts w:ascii="Arial" w:hAnsi="Arial" w:cs="Arial"/>
              </w:rPr>
              <w:t>Housing Strategy Manager</w:t>
            </w:r>
          </w:p>
        </w:tc>
        <w:tc>
          <w:tcPr>
            <w:tcW w:w="1701" w:type="dxa"/>
          </w:tcPr>
          <w:p w:rsidR="00601589" w:rsidP="00793859" w:rsidRDefault="00601589" w14:paraId="4E44401D" w14:textId="20CAFA71">
            <w:pPr>
              <w:spacing w:line="259" w:lineRule="auto"/>
              <w:rPr>
                <w:rFonts w:ascii="Arial" w:hAnsi="Arial" w:cs="Arial"/>
              </w:rPr>
            </w:pPr>
            <w:r>
              <w:rPr>
                <w:rFonts w:ascii="Arial" w:hAnsi="Arial" w:cs="Arial"/>
              </w:rPr>
              <w:t>June 2026</w:t>
            </w:r>
          </w:p>
        </w:tc>
      </w:tr>
      <w:tr w:rsidR="00601589" w:rsidTr="000C111C" w14:paraId="6C4A6E59" w14:textId="77777777">
        <w:trPr>
          <w:cantSplit/>
          <w:trHeight w:val="300"/>
        </w:trPr>
        <w:tc>
          <w:tcPr>
            <w:tcW w:w="840" w:type="dxa"/>
          </w:tcPr>
          <w:p w:rsidR="00601589" w:rsidP="00793859" w:rsidRDefault="00601589" w14:paraId="111B1B5F" w14:textId="77777777">
            <w:pPr>
              <w:spacing w:line="259" w:lineRule="auto"/>
              <w:rPr>
                <w:rFonts w:ascii="Arial" w:hAnsi="Arial" w:cs="Arial"/>
              </w:rPr>
            </w:pPr>
          </w:p>
        </w:tc>
        <w:tc>
          <w:tcPr>
            <w:tcW w:w="3261" w:type="dxa"/>
          </w:tcPr>
          <w:p w:rsidR="00601589" w:rsidP="00793859" w:rsidRDefault="00601589" w14:paraId="57F5BE16" w14:textId="7E783D18">
            <w:pPr>
              <w:spacing w:line="259" w:lineRule="auto"/>
              <w:rPr>
                <w:rFonts w:ascii="Arial" w:hAnsi="Arial" w:cs="Arial"/>
              </w:rPr>
            </w:pPr>
            <w:r>
              <w:rPr>
                <w:rFonts w:ascii="Arial" w:hAnsi="Arial" w:cs="Arial"/>
              </w:rPr>
              <w:t>Gather feedback from landlords</w:t>
            </w:r>
          </w:p>
        </w:tc>
        <w:tc>
          <w:tcPr>
            <w:tcW w:w="3402" w:type="dxa"/>
          </w:tcPr>
          <w:p w:rsidR="00601589" w:rsidP="00793859" w:rsidRDefault="00601589" w14:paraId="098A4323" w14:textId="65CCD028">
            <w:pPr>
              <w:spacing w:line="259" w:lineRule="auto"/>
              <w:rPr>
                <w:rFonts w:ascii="Arial" w:hAnsi="Arial" w:cs="Arial"/>
              </w:rPr>
            </w:pPr>
            <w:r w:rsidRPr="00542ACE">
              <w:rPr>
                <w:rFonts w:ascii="Arial" w:hAnsi="Arial" w:cs="Arial"/>
              </w:rPr>
              <w:t>Survey results and feedback report</w:t>
            </w:r>
          </w:p>
        </w:tc>
        <w:tc>
          <w:tcPr>
            <w:tcW w:w="3260" w:type="dxa"/>
          </w:tcPr>
          <w:p w:rsidR="00601589" w:rsidP="00793859" w:rsidRDefault="00601589" w14:paraId="183E53D5" w14:textId="7D5A73E8">
            <w:pPr>
              <w:spacing w:line="259" w:lineRule="auto"/>
              <w:rPr>
                <w:rFonts w:ascii="Arial" w:hAnsi="Arial" w:cs="Arial"/>
              </w:rPr>
            </w:pPr>
            <w:r>
              <w:rPr>
                <w:rFonts w:ascii="Arial" w:hAnsi="Arial" w:cs="Arial"/>
              </w:rPr>
              <w:t>Informed service improvements and targeted support</w:t>
            </w:r>
          </w:p>
        </w:tc>
        <w:tc>
          <w:tcPr>
            <w:tcW w:w="1560" w:type="dxa"/>
          </w:tcPr>
          <w:p w:rsidRPr="001F6E63" w:rsidR="00601589" w:rsidP="00793859" w:rsidRDefault="00601589" w14:paraId="2A22DC1C" w14:textId="121D8245">
            <w:pPr>
              <w:spacing w:line="259" w:lineRule="auto"/>
              <w:rPr>
                <w:rFonts w:ascii="Arial" w:hAnsi="Arial" w:cs="Arial"/>
              </w:rPr>
            </w:pPr>
            <w:r w:rsidRPr="001F6E63">
              <w:rPr>
                <w:rFonts w:ascii="Arial" w:hAnsi="Arial" w:cs="Arial"/>
              </w:rPr>
              <w:t>Housing Strategy Manager</w:t>
            </w:r>
          </w:p>
        </w:tc>
        <w:tc>
          <w:tcPr>
            <w:tcW w:w="1701" w:type="dxa"/>
          </w:tcPr>
          <w:p w:rsidR="00601589" w:rsidP="00793859" w:rsidRDefault="00601589" w14:paraId="1662EDD3" w14:textId="111B55A1">
            <w:pPr>
              <w:spacing w:line="259" w:lineRule="auto"/>
              <w:rPr>
                <w:rFonts w:ascii="Arial" w:hAnsi="Arial" w:cs="Arial"/>
              </w:rPr>
            </w:pPr>
            <w:r>
              <w:rPr>
                <w:rFonts w:ascii="Arial" w:hAnsi="Arial" w:cs="Arial"/>
              </w:rPr>
              <w:t>October 2026</w:t>
            </w:r>
          </w:p>
        </w:tc>
      </w:tr>
      <w:tr w:rsidR="00601589" w:rsidTr="000C111C" w14:paraId="6A2447D5" w14:textId="77777777">
        <w:trPr>
          <w:cantSplit/>
          <w:trHeight w:val="300"/>
        </w:trPr>
        <w:tc>
          <w:tcPr>
            <w:tcW w:w="840" w:type="dxa"/>
          </w:tcPr>
          <w:p w:rsidR="00601589" w:rsidP="00793859" w:rsidRDefault="00601589" w14:paraId="7C101E2A" w14:textId="77777777">
            <w:pPr>
              <w:spacing w:line="259" w:lineRule="auto"/>
              <w:rPr>
                <w:rFonts w:ascii="Arial" w:hAnsi="Arial" w:cs="Arial"/>
              </w:rPr>
            </w:pPr>
          </w:p>
        </w:tc>
        <w:tc>
          <w:tcPr>
            <w:tcW w:w="3261" w:type="dxa"/>
          </w:tcPr>
          <w:p w:rsidR="00601589" w:rsidP="00793859" w:rsidRDefault="00601589" w14:paraId="11622207" w14:textId="0CE4A9B2">
            <w:pPr>
              <w:spacing w:line="259" w:lineRule="auto"/>
              <w:rPr>
                <w:rFonts w:ascii="Arial" w:hAnsi="Arial" w:cs="Arial"/>
              </w:rPr>
            </w:pPr>
            <w:r>
              <w:rPr>
                <w:rFonts w:ascii="Arial" w:hAnsi="Arial" w:cs="Arial"/>
              </w:rPr>
              <w:t xml:space="preserve">Establish and hold bi-annual landlord forums </w:t>
            </w:r>
          </w:p>
        </w:tc>
        <w:tc>
          <w:tcPr>
            <w:tcW w:w="3402" w:type="dxa"/>
          </w:tcPr>
          <w:p w:rsidRPr="00542ACE" w:rsidR="00601589" w:rsidP="00793859" w:rsidRDefault="00601589" w14:paraId="7CC02840" w14:textId="3B4EDA0C">
            <w:pPr>
              <w:spacing w:line="259" w:lineRule="auto"/>
              <w:rPr>
                <w:rFonts w:ascii="Arial" w:hAnsi="Arial" w:cs="Arial"/>
              </w:rPr>
            </w:pPr>
            <w:r w:rsidRPr="00542ACE">
              <w:rPr>
                <w:rFonts w:ascii="Arial" w:hAnsi="Arial" w:cs="Arial"/>
              </w:rPr>
              <w:t>Two forums held annually</w:t>
            </w:r>
          </w:p>
        </w:tc>
        <w:tc>
          <w:tcPr>
            <w:tcW w:w="3260" w:type="dxa"/>
          </w:tcPr>
          <w:p w:rsidR="00601589" w:rsidP="00793859" w:rsidRDefault="00601589" w14:paraId="72D52AEA" w14:textId="5B0FC3AB">
            <w:pPr>
              <w:spacing w:line="259" w:lineRule="auto"/>
              <w:rPr>
                <w:rFonts w:ascii="Arial" w:hAnsi="Arial" w:cs="Arial"/>
              </w:rPr>
            </w:pPr>
            <w:r>
              <w:rPr>
                <w:rFonts w:ascii="Arial" w:hAnsi="Arial" w:cs="Arial"/>
              </w:rPr>
              <w:t>Strengthened relationships and shared information</w:t>
            </w:r>
          </w:p>
        </w:tc>
        <w:tc>
          <w:tcPr>
            <w:tcW w:w="1560" w:type="dxa"/>
          </w:tcPr>
          <w:p w:rsidRPr="001F6E63" w:rsidR="00601589" w:rsidP="00793859" w:rsidRDefault="00601589" w14:paraId="76DC4306" w14:textId="06D251A3">
            <w:pPr>
              <w:spacing w:line="259" w:lineRule="auto"/>
              <w:rPr>
                <w:rFonts w:ascii="Arial" w:hAnsi="Arial" w:cs="Arial"/>
              </w:rPr>
            </w:pPr>
            <w:r w:rsidRPr="001F6E63">
              <w:rPr>
                <w:rFonts w:ascii="Arial" w:hAnsi="Arial" w:cs="Arial"/>
              </w:rPr>
              <w:t>Housing Strategy Manager</w:t>
            </w:r>
          </w:p>
        </w:tc>
        <w:tc>
          <w:tcPr>
            <w:tcW w:w="1701" w:type="dxa"/>
          </w:tcPr>
          <w:p w:rsidR="00601589" w:rsidP="00793859" w:rsidRDefault="00601589" w14:paraId="4D929DE0" w14:textId="77777777">
            <w:pPr>
              <w:spacing w:line="259" w:lineRule="auto"/>
              <w:rPr>
                <w:rFonts w:ascii="Arial" w:hAnsi="Arial" w:cs="Arial"/>
              </w:rPr>
            </w:pPr>
            <w:r>
              <w:rPr>
                <w:rFonts w:ascii="Arial" w:hAnsi="Arial" w:cs="Arial"/>
              </w:rPr>
              <w:t>June 2026</w:t>
            </w:r>
          </w:p>
          <w:p w:rsidR="00601589" w:rsidP="00793859" w:rsidRDefault="00601589" w14:paraId="0CBF750B" w14:textId="77777777">
            <w:pPr>
              <w:spacing w:line="259" w:lineRule="auto"/>
              <w:rPr>
                <w:rFonts w:ascii="Arial" w:hAnsi="Arial" w:cs="Arial"/>
              </w:rPr>
            </w:pPr>
          </w:p>
          <w:p w:rsidR="00601589" w:rsidP="00793859" w:rsidRDefault="00601589" w14:paraId="7B042C4C" w14:textId="27F9D23B">
            <w:pPr>
              <w:spacing w:line="259" w:lineRule="auto"/>
              <w:rPr>
                <w:rFonts w:ascii="Arial" w:hAnsi="Arial" w:cs="Arial"/>
              </w:rPr>
            </w:pPr>
            <w:r>
              <w:rPr>
                <w:rFonts w:ascii="Arial" w:hAnsi="Arial" w:cs="Arial"/>
              </w:rPr>
              <w:t>December 2026</w:t>
            </w:r>
          </w:p>
        </w:tc>
      </w:tr>
      <w:tr w:rsidR="00601589" w:rsidTr="000C111C" w14:paraId="769E0AAB" w14:textId="77777777">
        <w:trPr>
          <w:cantSplit/>
          <w:trHeight w:val="300"/>
        </w:trPr>
        <w:tc>
          <w:tcPr>
            <w:tcW w:w="840" w:type="dxa"/>
          </w:tcPr>
          <w:p w:rsidR="00601589" w:rsidP="00793859" w:rsidRDefault="00601589" w14:paraId="189E22DE" w14:textId="280C3344">
            <w:pPr>
              <w:spacing w:line="259" w:lineRule="auto"/>
              <w:rPr>
                <w:rFonts w:ascii="Arial" w:hAnsi="Arial" w:cs="Arial"/>
              </w:rPr>
            </w:pPr>
            <w:r>
              <w:rPr>
                <w:rFonts w:ascii="Arial" w:hAnsi="Arial" w:cs="Arial"/>
              </w:rPr>
              <w:t>3</w:t>
            </w:r>
          </w:p>
        </w:tc>
        <w:tc>
          <w:tcPr>
            <w:tcW w:w="3261" w:type="dxa"/>
          </w:tcPr>
          <w:p w:rsidR="00601589" w:rsidP="00793859" w:rsidRDefault="00601589" w14:paraId="05AC64A3" w14:textId="771775F7">
            <w:pPr>
              <w:spacing w:line="259" w:lineRule="auto"/>
              <w:rPr>
                <w:rFonts w:ascii="Arial" w:hAnsi="Arial" w:cs="Arial"/>
              </w:rPr>
            </w:pPr>
            <w:r>
              <w:rPr>
                <w:rFonts w:ascii="Arial" w:hAnsi="Arial" w:cs="Arial"/>
              </w:rPr>
              <w:t>Maximise the use of available funding to deliver the adaptation service at pace</w:t>
            </w:r>
          </w:p>
        </w:tc>
        <w:tc>
          <w:tcPr>
            <w:tcW w:w="3402" w:type="dxa"/>
          </w:tcPr>
          <w:p w:rsidRPr="00F35A5B" w:rsidR="00601589" w:rsidP="00793859" w:rsidRDefault="00601589" w14:paraId="5A1582C2" w14:textId="77777777">
            <w:pPr>
              <w:spacing w:line="259" w:lineRule="auto"/>
              <w:rPr>
                <w:rFonts w:ascii="Arial" w:hAnsi="Arial" w:cs="Arial"/>
              </w:rPr>
            </w:pPr>
            <w:r w:rsidRPr="00F35A5B">
              <w:rPr>
                <w:rFonts w:ascii="Arial" w:hAnsi="Arial" w:cs="Arial"/>
              </w:rPr>
              <w:t>Increased number of adaptations</w:t>
            </w:r>
          </w:p>
          <w:p w:rsidRPr="00F35A5B" w:rsidR="00601589" w:rsidP="00793859" w:rsidRDefault="00601589" w14:paraId="06463A66" w14:textId="77777777">
            <w:pPr>
              <w:spacing w:line="259" w:lineRule="auto"/>
              <w:rPr>
                <w:rFonts w:ascii="Arial" w:hAnsi="Arial" w:cs="Arial"/>
              </w:rPr>
            </w:pPr>
          </w:p>
          <w:p w:rsidRPr="00542ACE" w:rsidR="00601589" w:rsidP="00793859" w:rsidRDefault="00601589" w14:paraId="419D675B" w14:textId="4F3B2070">
            <w:pPr>
              <w:spacing w:line="259" w:lineRule="auto"/>
              <w:rPr>
                <w:rFonts w:ascii="Arial" w:hAnsi="Arial" w:cs="Arial"/>
              </w:rPr>
            </w:pPr>
            <w:r w:rsidRPr="00F35A5B">
              <w:rPr>
                <w:rFonts w:ascii="Arial" w:hAnsi="Arial" w:cs="Arial"/>
              </w:rPr>
              <w:t>Reduced waiting time for adaptations</w:t>
            </w:r>
          </w:p>
        </w:tc>
        <w:tc>
          <w:tcPr>
            <w:tcW w:w="3260" w:type="dxa"/>
          </w:tcPr>
          <w:p w:rsidR="00601589" w:rsidP="00793859" w:rsidRDefault="00601589" w14:paraId="4E92D2FE" w14:textId="2A584A2C">
            <w:pPr>
              <w:spacing w:line="259" w:lineRule="auto"/>
              <w:rPr>
                <w:rFonts w:ascii="Arial" w:hAnsi="Arial" w:cs="Arial"/>
              </w:rPr>
            </w:pPr>
            <w:r>
              <w:rPr>
                <w:rFonts w:ascii="Arial" w:hAnsi="Arial" w:cs="Arial"/>
              </w:rPr>
              <w:t xml:space="preserve">Reduced waiting times </w:t>
            </w:r>
          </w:p>
        </w:tc>
        <w:tc>
          <w:tcPr>
            <w:tcW w:w="1560" w:type="dxa"/>
          </w:tcPr>
          <w:p w:rsidRPr="001F6E63" w:rsidR="00601589" w:rsidP="00793859" w:rsidRDefault="00601589" w14:paraId="71B5384E" w14:textId="18223987">
            <w:pPr>
              <w:spacing w:line="259" w:lineRule="auto"/>
              <w:rPr>
                <w:rFonts w:ascii="Arial" w:hAnsi="Arial" w:cs="Arial"/>
              </w:rPr>
            </w:pPr>
            <w:r>
              <w:rPr>
                <w:rFonts w:ascii="Arial" w:hAnsi="Arial" w:cs="Arial"/>
              </w:rPr>
              <w:t>Rapid Rehousing and Adaptations Manager</w:t>
            </w:r>
          </w:p>
        </w:tc>
        <w:tc>
          <w:tcPr>
            <w:tcW w:w="1701" w:type="dxa"/>
          </w:tcPr>
          <w:p w:rsidR="00601589" w:rsidP="00793859" w:rsidRDefault="00601589" w14:paraId="503E06F7" w14:textId="7405A4B7">
            <w:pPr>
              <w:spacing w:line="259" w:lineRule="auto"/>
              <w:rPr>
                <w:rFonts w:ascii="Arial" w:hAnsi="Arial" w:cs="Arial"/>
              </w:rPr>
            </w:pPr>
            <w:r>
              <w:rPr>
                <w:rFonts w:ascii="Arial" w:hAnsi="Arial" w:cs="Arial"/>
              </w:rPr>
              <w:t>Ongoing</w:t>
            </w:r>
          </w:p>
        </w:tc>
      </w:tr>
      <w:tr w:rsidR="00601589" w:rsidTr="000C111C" w14:paraId="4898F5F1" w14:textId="77777777">
        <w:trPr>
          <w:cantSplit/>
          <w:trHeight w:val="300"/>
        </w:trPr>
        <w:tc>
          <w:tcPr>
            <w:tcW w:w="840" w:type="dxa"/>
          </w:tcPr>
          <w:p w:rsidR="00601589" w:rsidP="00793859" w:rsidRDefault="00601589" w14:paraId="6D23F6E5" w14:textId="77777777">
            <w:pPr>
              <w:spacing w:line="259" w:lineRule="auto"/>
              <w:rPr>
                <w:rFonts w:ascii="Arial" w:hAnsi="Arial" w:cs="Arial"/>
              </w:rPr>
            </w:pPr>
          </w:p>
        </w:tc>
        <w:tc>
          <w:tcPr>
            <w:tcW w:w="3261" w:type="dxa"/>
          </w:tcPr>
          <w:p w:rsidR="00601589" w:rsidP="00793859" w:rsidRDefault="00601589" w14:paraId="17C3B025" w14:textId="2F1FFD90">
            <w:pPr>
              <w:spacing w:line="259" w:lineRule="auto"/>
              <w:rPr>
                <w:rFonts w:ascii="Arial" w:hAnsi="Arial" w:cs="Arial"/>
              </w:rPr>
            </w:pPr>
            <w:r w:rsidRPr="78093133">
              <w:rPr>
                <w:rFonts w:ascii="Arial" w:hAnsi="Arial" w:cs="Arial"/>
              </w:rPr>
              <w:t>Establish joint working protocols with key stakeholders to streamline the referral and coordination of adaptations</w:t>
            </w:r>
          </w:p>
        </w:tc>
        <w:tc>
          <w:tcPr>
            <w:tcW w:w="3402" w:type="dxa"/>
          </w:tcPr>
          <w:p w:rsidRPr="00F35A5B" w:rsidR="00601589" w:rsidP="00793859" w:rsidRDefault="00601589" w14:paraId="49494625" w14:textId="794F3D13">
            <w:pPr>
              <w:spacing w:line="259" w:lineRule="auto"/>
              <w:rPr>
                <w:rFonts w:ascii="Arial" w:hAnsi="Arial" w:cs="Arial"/>
              </w:rPr>
            </w:pPr>
            <w:r>
              <w:rPr>
                <w:rFonts w:ascii="Arial" w:hAnsi="Arial" w:cs="Arial"/>
              </w:rPr>
              <w:t>Protocols developed</w:t>
            </w:r>
          </w:p>
        </w:tc>
        <w:tc>
          <w:tcPr>
            <w:tcW w:w="3260" w:type="dxa"/>
          </w:tcPr>
          <w:p w:rsidR="00601589" w:rsidP="00793859" w:rsidRDefault="00601589" w14:paraId="1B14D6F4" w14:textId="6FE6F1D8">
            <w:pPr>
              <w:spacing w:line="259" w:lineRule="auto"/>
              <w:rPr>
                <w:rFonts w:ascii="Arial" w:hAnsi="Arial" w:cs="Arial"/>
              </w:rPr>
            </w:pPr>
            <w:r>
              <w:rPr>
                <w:rFonts w:ascii="Arial" w:hAnsi="Arial" w:cs="Arial"/>
              </w:rPr>
              <w:t>Reduced duplication and improved efficiency</w:t>
            </w:r>
          </w:p>
        </w:tc>
        <w:tc>
          <w:tcPr>
            <w:tcW w:w="1560" w:type="dxa"/>
          </w:tcPr>
          <w:p w:rsidR="00601589" w:rsidP="00793859" w:rsidRDefault="00601589" w14:paraId="09871C7F" w14:textId="09D8D3B3">
            <w:pPr>
              <w:spacing w:line="259" w:lineRule="auto"/>
              <w:rPr>
                <w:rFonts w:ascii="Arial" w:hAnsi="Arial" w:cs="Arial"/>
              </w:rPr>
            </w:pPr>
            <w:r w:rsidRPr="00BE3F33">
              <w:rPr>
                <w:rFonts w:ascii="Arial" w:hAnsi="Arial" w:cs="Arial"/>
              </w:rPr>
              <w:t>Rapid Rehousing and Adaptations Manager</w:t>
            </w:r>
          </w:p>
        </w:tc>
        <w:tc>
          <w:tcPr>
            <w:tcW w:w="1701" w:type="dxa"/>
          </w:tcPr>
          <w:p w:rsidR="00601589" w:rsidP="00793859" w:rsidRDefault="00601589" w14:paraId="1F5CDD0D" w14:textId="5E3E209D">
            <w:pPr>
              <w:spacing w:line="259" w:lineRule="auto"/>
              <w:rPr>
                <w:rFonts w:ascii="Arial" w:hAnsi="Arial" w:cs="Arial"/>
              </w:rPr>
            </w:pPr>
            <w:r>
              <w:rPr>
                <w:rFonts w:ascii="Arial" w:hAnsi="Arial" w:cs="Arial"/>
              </w:rPr>
              <w:t>June 2026</w:t>
            </w:r>
          </w:p>
        </w:tc>
      </w:tr>
      <w:tr w:rsidR="00601589" w:rsidTr="000C111C" w14:paraId="45B478D9" w14:textId="77777777">
        <w:trPr>
          <w:cantSplit/>
          <w:trHeight w:val="300"/>
        </w:trPr>
        <w:tc>
          <w:tcPr>
            <w:tcW w:w="840" w:type="dxa"/>
          </w:tcPr>
          <w:p w:rsidR="00601589" w:rsidP="00793859" w:rsidRDefault="00601589" w14:paraId="400C8937" w14:textId="77777777">
            <w:pPr>
              <w:spacing w:line="259" w:lineRule="auto"/>
              <w:rPr>
                <w:rFonts w:ascii="Arial" w:hAnsi="Arial" w:cs="Arial"/>
              </w:rPr>
            </w:pPr>
          </w:p>
        </w:tc>
        <w:tc>
          <w:tcPr>
            <w:tcW w:w="3261" w:type="dxa"/>
          </w:tcPr>
          <w:p w:rsidRPr="78093133" w:rsidR="00601589" w:rsidP="00793859" w:rsidRDefault="00601589" w14:paraId="3BF8D554" w14:textId="378D092E">
            <w:pPr>
              <w:spacing w:line="259" w:lineRule="auto"/>
              <w:rPr>
                <w:rFonts w:ascii="Arial" w:hAnsi="Arial" w:cs="Arial"/>
              </w:rPr>
            </w:pPr>
            <w:r w:rsidRPr="00237480">
              <w:rPr>
                <w:rFonts w:ascii="Arial" w:hAnsi="Arial" w:cs="Arial"/>
              </w:rPr>
              <w:t>Review fast track pathways for low-cost / high impact adaptations?</w:t>
            </w:r>
          </w:p>
        </w:tc>
        <w:tc>
          <w:tcPr>
            <w:tcW w:w="3402" w:type="dxa"/>
          </w:tcPr>
          <w:p w:rsidR="00601589" w:rsidP="00793859" w:rsidRDefault="00601589" w14:paraId="541CC2E5" w14:textId="38A5F637">
            <w:pPr>
              <w:spacing w:line="259" w:lineRule="auto"/>
              <w:rPr>
                <w:rFonts w:ascii="Arial" w:hAnsi="Arial" w:cs="Arial"/>
              </w:rPr>
            </w:pPr>
            <w:r w:rsidRPr="005B44CA">
              <w:rPr>
                <w:rFonts w:ascii="Arial" w:hAnsi="Arial" w:cs="Arial"/>
              </w:rPr>
              <w:t>Reduced risk of falls, injuries and hospital admissions for those who received an adaptation via the DFG service</w:t>
            </w:r>
          </w:p>
        </w:tc>
        <w:tc>
          <w:tcPr>
            <w:tcW w:w="3260" w:type="dxa"/>
          </w:tcPr>
          <w:p w:rsidR="00601589" w:rsidP="00793859" w:rsidRDefault="00601589" w14:paraId="6E6D9AB0" w14:textId="51E360EA">
            <w:pPr>
              <w:spacing w:line="259" w:lineRule="auto"/>
              <w:rPr>
                <w:rFonts w:ascii="Arial" w:hAnsi="Arial" w:cs="Arial"/>
              </w:rPr>
            </w:pPr>
            <w:r>
              <w:rPr>
                <w:rFonts w:ascii="Arial" w:hAnsi="Arial" w:cs="Arial"/>
              </w:rPr>
              <w:t>Quicker delivery of essential adaptations</w:t>
            </w:r>
          </w:p>
        </w:tc>
        <w:tc>
          <w:tcPr>
            <w:tcW w:w="1560" w:type="dxa"/>
          </w:tcPr>
          <w:p w:rsidRPr="00BE3F33" w:rsidR="00601589" w:rsidP="00793859" w:rsidRDefault="00601589" w14:paraId="7DD4476C" w14:textId="1B09CF0C">
            <w:pPr>
              <w:spacing w:line="259" w:lineRule="auto"/>
              <w:rPr>
                <w:rFonts w:ascii="Arial" w:hAnsi="Arial" w:cs="Arial"/>
              </w:rPr>
            </w:pPr>
            <w:r w:rsidRPr="00BE3F33">
              <w:rPr>
                <w:rFonts w:ascii="Arial" w:hAnsi="Arial" w:cs="Arial"/>
              </w:rPr>
              <w:t>Rapid Rehousing and Adaptations Manager</w:t>
            </w:r>
          </w:p>
        </w:tc>
        <w:tc>
          <w:tcPr>
            <w:tcW w:w="1701" w:type="dxa"/>
          </w:tcPr>
          <w:p w:rsidR="00601589" w:rsidP="00793859" w:rsidRDefault="00601589" w14:paraId="6258B143" w14:textId="77777777">
            <w:pPr>
              <w:spacing w:line="259" w:lineRule="auto"/>
              <w:rPr>
                <w:rFonts w:ascii="Arial" w:hAnsi="Arial" w:cs="Arial"/>
              </w:rPr>
            </w:pPr>
            <w:r>
              <w:rPr>
                <w:rFonts w:ascii="Arial" w:hAnsi="Arial" w:cs="Arial"/>
              </w:rPr>
              <w:t>June 2026</w:t>
            </w:r>
          </w:p>
          <w:p w:rsidR="00601589" w:rsidP="00793859" w:rsidRDefault="00601589" w14:paraId="7F953020" w14:textId="77777777">
            <w:pPr>
              <w:spacing w:line="259" w:lineRule="auto"/>
              <w:rPr>
                <w:rFonts w:ascii="Arial" w:hAnsi="Arial" w:cs="Arial"/>
              </w:rPr>
            </w:pPr>
          </w:p>
          <w:p w:rsidR="00601589" w:rsidP="00793859" w:rsidRDefault="00601589" w14:paraId="53C4F33E" w14:textId="19644532">
            <w:pPr>
              <w:spacing w:line="259" w:lineRule="auto"/>
              <w:rPr>
                <w:rFonts w:ascii="Arial" w:hAnsi="Arial" w:cs="Arial"/>
              </w:rPr>
            </w:pPr>
            <w:r>
              <w:rPr>
                <w:rFonts w:ascii="Arial" w:hAnsi="Arial" w:cs="Arial"/>
              </w:rPr>
              <w:t>December 2026</w:t>
            </w:r>
          </w:p>
        </w:tc>
      </w:tr>
      <w:tr w:rsidR="00601589" w:rsidTr="000C111C" w14:paraId="0E04A831" w14:textId="77777777">
        <w:trPr>
          <w:cantSplit/>
          <w:trHeight w:val="300"/>
        </w:trPr>
        <w:tc>
          <w:tcPr>
            <w:tcW w:w="840" w:type="dxa"/>
          </w:tcPr>
          <w:p w:rsidR="00601589" w:rsidP="00793859" w:rsidRDefault="00601589" w14:paraId="6246F12F" w14:textId="63B517B2">
            <w:pPr>
              <w:spacing w:line="259" w:lineRule="auto"/>
              <w:rPr>
                <w:rFonts w:ascii="Arial" w:hAnsi="Arial" w:cs="Arial"/>
              </w:rPr>
            </w:pPr>
            <w:r>
              <w:rPr>
                <w:rFonts w:ascii="Arial" w:hAnsi="Arial" w:cs="Arial"/>
              </w:rPr>
              <w:t>4</w:t>
            </w:r>
          </w:p>
        </w:tc>
        <w:tc>
          <w:tcPr>
            <w:tcW w:w="3261" w:type="dxa"/>
          </w:tcPr>
          <w:p w:rsidRPr="00237480" w:rsidR="00601589" w:rsidP="00793859" w:rsidRDefault="00601589" w14:paraId="569F797B" w14:textId="355AF4D6">
            <w:pPr>
              <w:spacing w:line="259" w:lineRule="auto"/>
              <w:rPr>
                <w:rFonts w:ascii="Arial" w:hAnsi="Arial" w:cs="Arial"/>
              </w:rPr>
            </w:pPr>
            <w:r>
              <w:rPr>
                <w:rFonts w:ascii="Arial" w:hAnsi="Arial" w:cs="Arial"/>
              </w:rPr>
              <w:t>Develop and implement a homeowner communication plan</w:t>
            </w:r>
          </w:p>
        </w:tc>
        <w:tc>
          <w:tcPr>
            <w:tcW w:w="3402" w:type="dxa"/>
          </w:tcPr>
          <w:p w:rsidRPr="005B44CA" w:rsidR="00601589" w:rsidP="00793859" w:rsidRDefault="00601589" w14:paraId="3F04429E" w14:textId="7D6F822A">
            <w:pPr>
              <w:spacing w:line="259" w:lineRule="auto"/>
              <w:rPr>
                <w:rFonts w:ascii="Arial" w:hAnsi="Arial" w:cs="Arial"/>
              </w:rPr>
            </w:pPr>
            <w:r>
              <w:rPr>
                <w:rFonts w:ascii="Arial" w:hAnsi="Arial" w:cs="Arial"/>
              </w:rPr>
              <w:t>Communication Plan in place</w:t>
            </w:r>
          </w:p>
        </w:tc>
        <w:tc>
          <w:tcPr>
            <w:tcW w:w="3260" w:type="dxa"/>
          </w:tcPr>
          <w:p w:rsidR="00601589" w:rsidP="00793859" w:rsidRDefault="00601589" w14:paraId="217C868F" w14:textId="39E18FF3">
            <w:pPr>
              <w:spacing w:line="259" w:lineRule="auto"/>
              <w:rPr>
                <w:rFonts w:ascii="Arial" w:hAnsi="Arial" w:cs="Arial"/>
              </w:rPr>
            </w:pPr>
            <w:r>
              <w:rPr>
                <w:rFonts w:ascii="Arial" w:hAnsi="Arial" w:cs="Arial"/>
              </w:rPr>
              <w:t>Increased uptake of grants and improved property conditions</w:t>
            </w:r>
          </w:p>
        </w:tc>
        <w:tc>
          <w:tcPr>
            <w:tcW w:w="1560" w:type="dxa"/>
          </w:tcPr>
          <w:p w:rsidRPr="00BE3F33" w:rsidR="00601589" w:rsidP="00793859" w:rsidRDefault="00601589" w14:paraId="4142E9A6" w14:textId="1D5C3F83">
            <w:pPr>
              <w:spacing w:line="259" w:lineRule="auto"/>
              <w:rPr>
                <w:rFonts w:ascii="Arial" w:hAnsi="Arial" w:cs="Arial"/>
              </w:rPr>
            </w:pPr>
            <w:r w:rsidRPr="001F6E63">
              <w:rPr>
                <w:rFonts w:ascii="Arial" w:hAnsi="Arial" w:cs="Arial"/>
              </w:rPr>
              <w:t>Housing Strategy Manager</w:t>
            </w:r>
          </w:p>
        </w:tc>
        <w:tc>
          <w:tcPr>
            <w:tcW w:w="1701" w:type="dxa"/>
          </w:tcPr>
          <w:p w:rsidR="00601589" w:rsidP="00793859" w:rsidRDefault="00601589" w14:paraId="3F0A6D01" w14:textId="76FD3D15">
            <w:pPr>
              <w:spacing w:line="259" w:lineRule="auto"/>
              <w:rPr>
                <w:rFonts w:ascii="Arial" w:hAnsi="Arial" w:cs="Arial"/>
              </w:rPr>
            </w:pPr>
            <w:r>
              <w:rPr>
                <w:rFonts w:ascii="Arial" w:hAnsi="Arial" w:cs="Arial"/>
              </w:rPr>
              <w:t>June 2026</w:t>
            </w:r>
          </w:p>
        </w:tc>
      </w:tr>
    </w:tbl>
    <w:p w:rsidR="00601589" w:rsidP="00D937D2" w:rsidRDefault="00601589" w14:paraId="3D22AB45" w14:textId="77777777">
      <w:pPr>
        <w:spacing w:after="0" w:line="240" w:lineRule="auto"/>
        <w:rPr>
          <w:rFonts w:ascii="Arial" w:hAnsi="Arial" w:cs="Arial"/>
          <w:b/>
          <w:bCs/>
        </w:rPr>
      </w:pPr>
    </w:p>
    <w:sectPr w:rsidR="00601589" w:rsidSect="008674F6">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9579" w14:textId="77777777" w:rsidR="007650D7" w:rsidRDefault="007650D7" w:rsidP="006C27B4">
      <w:pPr>
        <w:spacing w:after="0" w:line="240" w:lineRule="auto"/>
      </w:pPr>
      <w:r>
        <w:separator/>
      </w:r>
    </w:p>
  </w:endnote>
  <w:endnote w:type="continuationSeparator" w:id="0">
    <w:p w14:paraId="02723FE5" w14:textId="77777777" w:rsidR="007650D7" w:rsidRDefault="007650D7" w:rsidP="006C2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74C4" w14:textId="62AEFDD2" w:rsidR="006C27B4" w:rsidRPr="00DE700B" w:rsidRDefault="006C27B4">
    <w:pPr>
      <w:pStyle w:val="Footer"/>
      <w:jc w:val="right"/>
      <w:rPr>
        <w:rFonts w:ascii="Arial" w:hAnsi="Arial" w:cs="Arial"/>
        <w:color w:val="00927E"/>
      </w:rPr>
    </w:pPr>
  </w:p>
  <w:p w14:paraId="20CB4185" w14:textId="77777777" w:rsidR="006C27B4" w:rsidRDefault="006C2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940314"/>
      <w:docPartObj>
        <w:docPartGallery w:val="Page Numbers (Bottom of Page)"/>
        <w:docPartUnique/>
      </w:docPartObj>
    </w:sdtPr>
    <w:sdtEndPr>
      <w:rPr>
        <w:rFonts w:ascii="Arial" w:hAnsi="Arial" w:cs="Arial"/>
        <w:noProof/>
        <w:color w:val="00927E"/>
      </w:rPr>
    </w:sdtEndPr>
    <w:sdtContent>
      <w:p w14:paraId="74035BCE" w14:textId="77777777" w:rsidR="00D937D2" w:rsidRPr="00DE700B" w:rsidRDefault="00D937D2">
        <w:pPr>
          <w:pStyle w:val="Footer"/>
          <w:jc w:val="right"/>
          <w:rPr>
            <w:rFonts w:ascii="Arial" w:hAnsi="Arial" w:cs="Arial"/>
            <w:color w:val="00927E"/>
          </w:rPr>
        </w:pPr>
        <w:r w:rsidRPr="00DE700B">
          <w:rPr>
            <w:rFonts w:ascii="Arial" w:hAnsi="Arial" w:cs="Arial"/>
            <w:color w:val="00927E"/>
          </w:rPr>
          <w:fldChar w:fldCharType="begin"/>
        </w:r>
        <w:r w:rsidRPr="00DE700B">
          <w:rPr>
            <w:rFonts w:ascii="Arial" w:hAnsi="Arial" w:cs="Arial"/>
            <w:color w:val="00927E"/>
          </w:rPr>
          <w:instrText xml:space="preserve"> PAGE   \* MERGEFORMAT </w:instrText>
        </w:r>
        <w:r w:rsidRPr="00DE700B">
          <w:rPr>
            <w:rFonts w:ascii="Arial" w:hAnsi="Arial" w:cs="Arial"/>
            <w:color w:val="00927E"/>
          </w:rPr>
          <w:fldChar w:fldCharType="separate"/>
        </w:r>
        <w:r w:rsidRPr="00DE700B">
          <w:rPr>
            <w:rFonts w:ascii="Arial" w:hAnsi="Arial" w:cs="Arial"/>
            <w:noProof/>
            <w:color w:val="00927E"/>
          </w:rPr>
          <w:t>2</w:t>
        </w:r>
        <w:r w:rsidRPr="00DE700B">
          <w:rPr>
            <w:rFonts w:ascii="Arial" w:hAnsi="Arial" w:cs="Arial"/>
            <w:noProof/>
            <w:color w:val="00927E"/>
          </w:rPr>
          <w:fldChar w:fldCharType="end"/>
        </w:r>
      </w:p>
    </w:sdtContent>
  </w:sdt>
  <w:p w14:paraId="3FE5ED4A" w14:textId="77777777" w:rsidR="00D937D2" w:rsidRDefault="00D93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7BBF" w14:textId="77777777" w:rsidR="007650D7" w:rsidRDefault="007650D7" w:rsidP="006C27B4">
      <w:pPr>
        <w:spacing w:after="0" w:line="240" w:lineRule="auto"/>
      </w:pPr>
      <w:r>
        <w:separator/>
      </w:r>
    </w:p>
  </w:footnote>
  <w:footnote w:type="continuationSeparator" w:id="0">
    <w:p w14:paraId="296F3318" w14:textId="77777777" w:rsidR="007650D7" w:rsidRDefault="007650D7" w:rsidP="006C2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A36"/>
    <w:multiLevelType w:val="hybridMultilevel"/>
    <w:tmpl w:val="4F12F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F7E"/>
    <w:multiLevelType w:val="hybridMultilevel"/>
    <w:tmpl w:val="B2A84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41875"/>
    <w:multiLevelType w:val="hybridMultilevel"/>
    <w:tmpl w:val="0B2CF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F5767C"/>
    <w:multiLevelType w:val="hybridMultilevel"/>
    <w:tmpl w:val="A45C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A60AA1"/>
    <w:multiLevelType w:val="hybridMultilevel"/>
    <w:tmpl w:val="C6B47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B0E0B"/>
    <w:multiLevelType w:val="hybridMultilevel"/>
    <w:tmpl w:val="FD48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26997"/>
    <w:multiLevelType w:val="hybridMultilevel"/>
    <w:tmpl w:val="05E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EF6CBB"/>
    <w:multiLevelType w:val="hybridMultilevel"/>
    <w:tmpl w:val="23467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042825">
    <w:abstractNumId w:val="7"/>
  </w:num>
  <w:num w:numId="2" w16cid:durableId="697269277">
    <w:abstractNumId w:val="4"/>
  </w:num>
  <w:num w:numId="3" w16cid:durableId="385449269">
    <w:abstractNumId w:val="2"/>
  </w:num>
  <w:num w:numId="4" w16cid:durableId="1176069860">
    <w:abstractNumId w:val="0"/>
  </w:num>
  <w:num w:numId="5" w16cid:durableId="1445419634">
    <w:abstractNumId w:val="1"/>
  </w:num>
  <w:num w:numId="6" w16cid:durableId="352536869">
    <w:abstractNumId w:val="3"/>
  </w:num>
  <w:num w:numId="7" w16cid:durableId="104470394">
    <w:abstractNumId w:val="5"/>
  </w:num>
  <w:num w:numId="8" w16cid:durableId="1424885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AA"/>
    <w:rsid w:val="000018A8"/>
    <w:rsid w:val="000073D2"/>
    <w:rsid w:val="00010085"/>
    <w:rsid w:val="00012514"/>
    <w:rsid w:val="00017083"/>
    <w:rsid w:val="000241F3"/>
    <w:rsid w:val="00032404"/>
    <w:rsid w:val="00041440"/>
    <w:rsid w:val="0004621C"/>
    <w:rsid w:val="00051C8A"/>
    <w:rsid w:val="00057B9B"/>
    <w:rsid w:val="00057F37"/>
    <w:rsid w:val="000651E7"/>
    <w:rsid w:val="000661E9"/>
    <w:rsid w:val="0006649C"/>
    <w:rsid w:val="0006767C"/>
    <w:rsid w:val="00081FA2"/>
    <w:rsid w:val="00090FEE"/>
    <w:rsid w:val="00093550"/>
    <w:rsid w:val="000962A5"/>
    <w:rsid w:val="000A4635"/>
    <w:rsid w:val="000A71BF"/>
    <w:rsid w:val="000B04A4"/>
    <w:rsid w:val="000B2F9F"/>
    <w:rsid w:val="000B6D08"/>
    <w:rsid w:val="000B6EBC"/>
    <w:rsid w:val="000B73F9"/>
    <w:rsid w:val="000F50FE"/>
    <w:rsid w:val="001013B8"/>
    <w:rsid w:val="0010350D"/>
    <w:rsid w:val="001068DF"/>
    <w:rsid w:val="001110B4"/>
    <w:rsid w:val="00117CBE"/>
    <w:rsid w:val="001307BF"/>
    <w:rsid w:val="0013219C"/>
    <w:rsid w:val="00132B46"/>
    <w:rsid w:val="00134162"/>
    <w:rsid w:val="00140719"/>
    <w:rsid w:val="00140F02"/>
    <w:rsid w:val="001438F8"/>
    <w:rsid w:val="00165B43"/>
    <w:rsid w:val="00176440"/>
    <w:rsid w:val="001764CE"/>
    <w:rsid w:val="00183B19"/>
    <w:rsid w:val="0018467C"/>
    <w:rsid w:val="00184F2B"/>
    <w:rsid w:val="00185AFB"/>
    <w:rsid w:val="001943B4"/>
    <w:rsid w:val="001972A3"/>
    <w:rsid w:val="001A2A82"/>
    <w:rsid w:val="001B08F9"/>
    <w:rsid w:val="001C3173"/>
    <w:rsid w:val="001C7238"/>
    <w:rsid w:val="001D5EC0"/>
    <w:rsid w:val="001D61B5"/>
    <w:rsid w:val="001D6518"/>
    <w:rsid w:val="001E32B9"/>
    <w:rsid w:val="001E6604"/>
    <w:rsid w:val="001E7DC5"/>
    <w:rsid w:val="00203CF8"/>
    <w:rsid w:val="002077CD"/>
    <w:rsid w:val="00207A3D"/>
    <w:rsid w:val="002127FE"/>
    <w:rsid w:val="00212C90"/>
    <w:rsid w:val="0021360A"/>
    <w:rsid w:val="00214B48"/>
    <w:rsid w:val="00220651"/>
    <w:rsid w:val="00224122"/>
    <w:rsid w:val="00225451"/>
    <w:rsid w:val="00232671"/>
    <w:rsid w:val="00233348"/>
    <w:rsid w:val="00237480"/>
    <w:rsid w:val="002412B3"/>
    <w:rsid w:val="002429F2"/>
    <w:rsid w:val="00245723"/>
    <w:rsid w:val="00247803"/>
    <w:rsid w:val="00247A63"/>
    <w:rsid w:val="00252813"/>
    <w:rsid w:val="00255724"/>
    <w:rsid w:val="00266755"/>
    <w:rsid w:val="00273433"/>
    <w:rsid w:val="00275B4C"/>
    <w:rsid w:val="00277B9E"/>
    <w:rsid w:val="00290EF3"/>
    <w:rsid w:val="00290FBC"/>
    <w:rsid w:val="00294E02"/>
    <w:rsid w:val="002A094B"/>
    <w:rsid w:val="002A1055"/>
    <w:rsid w:val="002A2F21"/>
    <w:rsid w:val="002A32D0"/>
    <w:rsid w:val="002C0361"/>
    <w:rsid w:val="002C6356"/>
    <w:rsid w:val="002C6DEC"/>
    <w:rsid w:val="002D1BD3"/>
    <w:rsid w:val="002D79BB"/>
    <w:rsid w:val="002E1045"/>
    <w:rsid w:val="002E754B"/>
    <w:rsid w:val="002E77DE"/>
    <w:rsid w:val="002E78EC"/>
    <w:rsid w:val="002F6476"/>
    <w:rsid w:val="002F71F2"/>
    <w:rsid w:val="0030186F"/>
    <w:rsid w:val="00303A37"/>
    <w:rsid w:val="00306B35"/>
    <w:rsid w:val="003078BB"/>
    <w:rsid w:val="00313012"/>
    <w:rsid w:val="0031342F"/>
    <w:rsid w:val="00314B02"/>
    <w:rsid w:val="00315BBD"/>
    <w:rsid w:val="00320D41"/>
    <w:rsid w:val="0032124A"/>
    <w:rsid w:val="003262BE"/>
    <w:rsid w:val="00326FA6"/>
    <w:rsid w:val="003403D9"/>
    <w:rsid w:val="00341E71"/>
    <w:rsid w:val="00347491"/>
    <w:rsid w:val="00351BCA"/>
    <w:rsid w:val="00355D5E"/>
    <w:rsid w:val="00361DEA"/>
    <w:rsid w:val="003637E1"/>
    <w:rsid w:val="00363E5B"/>
    <w:rsid w:val="00373750"/>
    <w:rsid w:val="00376143"/>
    <w:rsid w:val="003972F3"/>
    <w:rsid w:val="003977D5"/>
    <w:rsid w:val="003A355E"/>
    <w:rsid w:val="003A4974"/>
    <w:rsid w:val="003A52E9"/>
    <w:rsid w:val="003C456B"/>
    <w:rsid w:val="003D61E0"/>
    <w:rsid w:val="003E188D"/>
    <w:rsid w:val="003E5936"/>
    <w:rsid w:val="003E67E2"/>
    <w:rsid w:val="003F20DE"/>
    <w:rsid w:val="00402076"/>
    <w:rsid w:val="004040BA"/>
    <w:rsid w:val="0040702E"/>
    <w:rsid w:val="004107C7"/>
    <w:rsid w:val="004139E5"/>
    <w:rsid w:val="004206F4"/>
    <w:rsid w:val="00422518"/>
    <w:rsid w:val="0043315C"/>
    <w:rsid w:val="0043653B"/>
    <w:rsid w:val="004365F1"/>
    <w:rsid w:val="00437A28"/>
    <w:rsid w:val="00445BD6"/>
    <w:rsid w:val="004470B6"/>
    <w:rsid w:val="00450A26"/>
    <w:rsid w:val="00461D14"/>
    <w:rsid w:val="004715DF"/>
    <w:rsid w:val="004736A8"/>
    <w:rsid w:val="004851BC"/>
    <w:rsid w:val="00487F19"/>
    <w:rsid w:val="0049090D"/>
    <w:rsid w:val="00495202"/>
    <w:rsid w:val="004A2B19"/>
    <w:rsid w:val="004A640D"/>
    <w:rsid w:val="004B0138"/>
    <w:rsid w:val="004B33DE"/>
    <w:rsid w:val="004B3D68"/>
    <w:rsid w:val="004B47FF"/>
    <w:rsid w:val="004C0719"/>
    <w:rsid w:val="004C32B2"/>
    <w:rsid w:val="004C392D"/>
    <w:rsid w:val="004D7136"/>
    <w:rsid w:val="004E1ACA"/>
    <w:rsid w:val="004E28DD"/>
    <w:rsid w:val="004E68A2"/>
    <w:rsid w:val="004F0154"/>
    <w:rsid w:val="004F210F"/>
    <w:rsid w:val="004F4023"/>
    <w:rsid w:val="00502701"/>
    <w:rsid w:val="005031E3"/>
    <w:rsid w:val="00505104"/>
    <w:rsid w:val="005105EF"/>
    <w:rsid w:val="00516B85"/>
    <w:rsid w:val="00521114"/>
    <w:rsid w:val="00524DCF"/>
    <w:rsid w:val="00524E63"/>
    <w:rsid w:val="00533A59"/>
    <w:rsid w:val="00535DB9"/>
    <w:rsid w:val="005366B8"/>
    <w:rsid w:val="00541CEC"/>
    <w:rsid w:val="00542ACE"/>
    <w:rsid w:val="00551C89"/>
    <w:rsid w:val="00564B03"/>
    <w:rsid w:val="005654A0"/>
    <w:rsid w:val="005711CF"/>
    <w:rsid w:val="00575023"/>
    <w:rsid w:val="0057588E"/>
    <w:rsid w:val="00576E4F"/>
    <w:rsid w:val="00581F75"/>
    <w:rsid w:val="00586465"/>
    <w:rsid w:val="00591DDE"/>
    <w:rsid w:val="00593133"/>
    <w:rsid w:val="00594DC8"/>
    <w:rsid w:val="005A150E"/>
    <w:rsid w:val="005A232F"/>
    <w:rsid w:val="005A3E85"/>
    <w:rsid w:val="005B042F"/>
    <w:rsid w:val="005B0558"/>
    <w:rsid w:val="005B26E5"/>
    <w:rsid w:val="005B44CA"/>
    <w:rsid w:val="005B4F1C"/>
    <w:rsid w:val="005C62AD"/>
    <w:rsid w:val="005D15B6"/>
    <w:rsid w:val="005D636F"/>
    <w:rsid w:val="005E4345"/>
    <w:rsid w:val="005F2469"/>
    <w:rsid w:val="005F4033"/>
    <w:rsid w:val="00600659"/>
    <w:rsid w:val="00600DC5"/>
    <w:rsid w:val="00601589"/>
    <w:rsid w:val="00602FD5"/>
    <w:rsid w:val="006110A3"/>
    <w:rsid w:val="00623CFD"/>
    <w:rsid w:val="00623FA4"/>
    <w:rsid w:val="00627DA0"/>
    <w:rsid w:val="00633B01"/>
    <w:rsid w:val="00633D84"/>
    <w:rsid w:val="006405B1"/>
    <w:rsid w:val="00642799"/>
    <w:rsid w:val="00642CAC"/>
    <w:rsid w:val="00643FC8"/>
    <w:rsid w:val="0064638B"/>
    <w:rsid w:val="006578DA"/>
    <w:rsid w:val="00660A0A"/>
    <w:rsid w:val="00662B2E"/>
    <w:rsid w:val="006662A9"/>
    <w:rsid w:val="00686835"/>
    <w:rsid w:val="006A30B9"/>
    <w:rsid w:val="006A38B2"/>
    <w:rsid w:val="006A6522"/>
    <w:rsid w:val="006A6FE5"/>
    <w:rsid w:val="006B0408"/>
    <w:rsid w:val="006B693B"/>
    <w:rsid w:val="006C27B4"/>
    <w:rsid w:val="006C5B7A"/>
    <w:rsid w:val="006D2503"/>
    <w:rsid w:val="006D4342"/>
    <w:rsid w:val="006D5C0D"/>
    <w:rsid w:val="006E3EC0"/>
    <w:rsid w:val="006E4BE6"/>
    <w:rsid w:val="006E5992"/>
    <w:rsid w:val="006E6939"/>
    <w:rsid w:val="006E699F"/>
    <w:rsid w:val="006E7DD9"/>
    <w:rsid w:val="006F4596"/>
    <w:rsid w:val="00705A6F"/>
    <w:rsid w:val="007075FA"/>
    <w:rsid w:val="0072258F"/>
    <w:rsid w:val="00724735"/>
    <w:rsid w:val="0073006E"/>
    <w:rsid w:val="007359FF"/>
    <w:rsid w:val="007401AC"/>
    <w:rsid w:val="007428F9"/>
    <w:rsid w:val="00743BB0"/>
    <w:rsid w:val="00756092"/>
    <w:rsid w:val="007622A4"/>
    <w:rsid w:val="007650D7"/>
    <w:rsid w:val="007721C4"/>
    <w:rsid w:val="00780B0A"/>
    <w:rsid w:val="00785DAA"/>
    <w:rsid w:val="00793859"/>
    <w:rsid w:val="0079609B"/>
    <w:rsid w:val="00796A3D"/>
    <w:rsid w:val="007A5626"/>
    <w:rsid w:val="007A65A0"/>
    <w:rsid w:val="007B491D"/>
    <w:rsid w:val="007B71B7"/>
    <w:rsid w:val="007B7FA0"/>
    <w:rsid w:val="007C11C2"/>
    <w:rsid w:val="007D55E4"/>
    <w:rsid w:val="007E14F5"/>
    <w:rsid w:val="007E18E6"/>
    <w:rsid w:val="007E3A43"/>
    <w:rsid w:val="007E6C35"/>
    <w:rsid w:val="007F015B"/>
    <w:rsid w:val="007F108F"/>
    <w:rsid w:val="00801104"/>
    <w:rsid w:val="00805FB8"/>
    <w:rsid w:val="0080665D"/>
    <w:rsid w:val="008074FB"/>
    <w:rsid w:val="008112F4"/>
    <w:rsid w:val="00811620"/>
    <w:rsid w:val="008150A7"/>
    <w:rsid w:val="00822470"/>
    <w:rsid w:val="00834053"/>
    <w:rsid w:val="0083619E"/>
    <w:rsid w:val="008364B1"/>
    <w:rsid w:val="00844288"/>
    <w:rsid w:val="00856094"/>
    <w:rsid w:val="00857C6F"/>
    <w:rsid w:val="00866F49"/>
    <w:rsid w:val="0086723C"/>
    <w:rsid w:val="008674F6"/>
    <w:rsid w:val="00867C60"/>
    <w:rsid w:val="00871AD3"/>
    <w:rsid w:val="00871C49"/>
    <w:rsid w:val="00890004"/>
    <w:rsid w:val="00890629"/>
    <w:rsid w:val="0089199D"/>
    <w:rsid w:val="00891A04"/>
    <w:rsid w:val="00897136"/>
    <w:rsid w:val="00897421"/>
    <w:rsid w:val="008A0F2A"/>
    <w:rsid w:val="008A2ACA"/>
    <w:rsid w:val="008A5277"/>
    <w:rsid w:val="008B1D72"/>
    <w:rsid w:val="008B4B06"/>
    <w:rsid w:val="008C021B"/>
    <w:rsid w:val="008C60A9"/>
    <w:rsid w:val="008C7B92"/>
    <w:rsid w:val="008D573E"/>
    <w:rsid w:val="008E0087"/>
    <w:rsid w:val="008E0BB6"/>
    <w:rsid w:val="008E1E10"/>
    <w:rsid w:val="008E24EA"/>
    <w:rsid w:val="008E2636"/>
    <w:rsid w:val="008E6596"/>
    <w:rsid w:val="008F13C7"/>
    <w:rsid w:val="008F4962"/>
    <w:rsid w:val="008F528B"/>
    <w:rsid w:val="008F7FF4"/>
    <w:rsid w:val="009005AF"/>
    <w:rsid w:val="00917186"/>
    <w:rsid w:val="00922671"/>
    <w:rsid w:val="00932336"/>
    <w:rsid w:val="00932C25"/>
    <w:rsid w:val="00934A67"/>
    <w:rsid w:val="0094499A"/>
    <w:rsid w:val="00945C8D"/>
    <w:rsid w:val="00945CCE"/>
    <w:rsid w:val="0094658D"/>
    <w:rsid w:val="00946F87"/>
    <w:rsid w:val="00947B2D"/>
    <w:rsid w:val="009569DA"/>
    <w:rsid w:val="00957143"/>
    <w:rsid w:val="009638D1"/>
    <w:rsid w:val="00977EAB"/>
    <w:rsid w:val="0099452F"/>
    <w:rsid w:val="009947EC"/>
    <w:rsid w:val="009A667A"/>
    <w:rsid w:val="009A6B4F"/>
    <w:rsid w:val="009B4F01"/>
    <w:rsid w:val="009B54D5"/>
    <w:rsid w:val="009B55A9"/>
    <w:rsid w:val="009C0A8B"/>
    <w:rsid w:val="009C2500"/>
    <w:rsid w:val="009D6D12"/>
    <w:rsid w:val="009D7D0A"/>
    <w:rsid w:val="009E1491"/>
    <w:rsid w:val="009E300D"/>
    <w:rsid w:val="009F145D"/>
    <w:rsid w:val="00A02215"/>
    <w:rsid w:val="00A03B1E"/>
    <w:rsid w:val="00A05157"/>
    <w:rsid w:val="00A2034E"/>
    <w:rsid w:val="00A2102D"/>
    <w:rsid w:val="00A26440"/>
    <w:rsid w:val="00A37550"/>
    <w:rsid w:val="00A4317C"/>
    <w:rsid w:val="00A462D9"/>
    <w:rsid w:val="00A47D2C"/>
    <w:rsid w:val="00A52172"/>
    <w:rsid w:val="00A540AA"/>
    <w:rsid w:val="00A55410"/>
    <w:rsid w:val="00A55ADD"/>
    <w:rsid w:val="00A55C3C"/>
    <w:rsid w:val="00A60450"/>
    <w:rsid w:val="00A64282"/>
    <w:rsid w:val="00A64C42"/>
    <w:rsid w:val="00A70BC3"/>
    <w:rsid w:val="00A77005"/>
    <w:rsid w:val="00A77B1C"/>
    <w:rsid w:val="00A86D90"/>
    <w:rsid w:val="00A974F8"/>
    <w:rsid w:val="00AA01DD"/>
    <w:rsid w:val="00AA13BC"/>
    <w:rsid w:val="00AB01BF"/>
    <w:rsid w:val="00AB76C5"/>
    <w:rsid w:val="00AC2D36"/>
    <w:rsid w:val="00AC3893"/>
    <w:rsid w:val="00AC3D19"/>
    <w:rsid w:val="00AC7B80"/>
    <w:rsid w:val="00AD2E23"/>
    <w:rsid w:val="00AD5CD9"/>
    <w:rsid w:val="00AD7C92"/>
    <w:rsid w:val="00AF2D2F"/>
    <w:rsid w:val="00B01290"/>
    <w:rsid w:val="00B03CFA"/>
    <w:rsid w:val="00B122E1"/>
    <w:rsid w:val="00B177C0"/>
    <w:rsid w:val="00B24D0D"/>
    <w:rsid w:val="00B2797B"/>
    <w:rsid w:val="00B3025E"/>
    <w:rsid w:val="00B34095"/>
    <w:rsid w:val="00B36320"/>
    <w:rsid w:val="00B41ED1"/>
    <w:rsid w:val="00B5433B"/>
    <w:rsid w:val="00B60015"/>
    <w:rsid w:val="00B63969"/>
    <w:rsid w:val="00B6675B"/>
    <w:rsid w:val="00B70D2B"/>
    <w:rsid w:val="00B727B8"/>
    <w:rsid w:val="00B756D7"/>
    <w:rsid w:val="00B85969"/>
    <w:rsid w:val="00B8758B"/>
    <w:rsid w:val="00BA0A41"/>
    <w:rsid w:val="00BA3149"/>
    <w:rsid w:val="00BA5297"/>
    <w:rsid w:val="00BA5F19"/>
    <w:rsid w:val="00BA6CF2"/>
    <w:rsid w:val="00BC247B"/>
    <w:rsid w:val="00BC27A6"/>
    <w:rsid w:val="00BC46D4"/>
    <w:rsid w:val="00BD08AD"/>
    <w:rsid w:val="00BD435F"/>
    <w:rsid w:val="00BD4CE0"/>
    <w:rsid w:val="00BD6FB4"/>
    <w:rsid w:val="00BE7316"/>
    <w:rsid w:val="00BF027D"/>
    <w:rsid w:val="00BF28B7"/>
    <w:rsid w:val="00C04DE0"/>
    <w:rsid w:val="00C101AB"/>
    <w:rsid w:val="00C2210A"/>
    <w:rsid w:val="00C2376C"/>
    <w:rsid w:val="00C32852"/>
    <w:rsid w:val="00C34892"/>
    <w:rsid w:val="00C372CE"/>
    <w:rsid w:val="00C45278"/>
    <w:rsid w:val="00C579FE"/>
    <w:rsid w:val="00C61E6C"/>
    <w:rsid w:val="00C629DC"/>
    <w:rsid w:val="00C63B76"/>
    <w:rsid w:val="00C65732"/>
    <w:rsid w:val="00C66218"/>
    <w:rsid w:val="00C67906"/>
    <w:rsid w:val="00C7364E"/>
    <w:rsid w:val="00C94CD6"/>
    <w:rsid w:val="00C954B0"/>
    <w:rsid w:val="00C9623E"/>
    <w:rsid w:val="00CA1EDF"/>
    <w:rsid w:val="00CA2172"/>
    <w:rsid w:val="00CA46D9"/>
    <w:rsid w:val="00CB4A2C"/>
    <w:rsid w:val="00CB5ACE"/>
    <w:rsid w:val="00CB5E37"/>
    <w:rsid w:val="00CB64D2"/>
    <w:rsid w:val="00CB7DB5"/>
    <w:rsid w:val="00CC03CB"/>
    <w:rsid w:val="00CC5F36"/>
    <w:rsid w:val="00CD01D2"/>
    <w:rsid w:val="00CD46F9"/>
    <w:rsid w:val="00CD4F45"/>
    <w:rsid w:val="00CE2B50"/>
    <w:rsid w:val="00CE45EE"/>
    <w:rsid w:val="00CE5414"/>
    <w:rsid w:val="00CE7C2B"/>
    <w:rsid w:val="00CF0C2E"/>
    <w:rsid w:val="00CF260F"/>
    <w:rsid w:val="00CF46D5"/>
    <w:rsid w:val="00CF6805"/>
    <w:rsid w:val="00CF7520"/>
    <w:rsid w:val="00D03A22"/>
    <w:rsid w:val="00D045A9"/>
    <w:rsid w:val="00D06BC5"/>
    <w:rsid w:val="00D10E4A"/>
    <w:rsid w:val="00D22316"/>
    <w:rsid w:val="00D23487"/>
    <w:rsid w:val="00D23696"/>
    <w:rsid w:val="00D31E83"/>
    <w:rsid w:val="00D413C7"/>
    <w:rsid w:val="00D451B3"/>
    <w:rsid w:val="00D45F26"/>
    <w:rsid w:val="00D50709"/>
    <w:rsid w:val="00D52095"/>
    <w:rsid w:val="00D53A65"/>
    <w:rsid w:val="00D543EE"/>
    <w:rsid w:val="00D57C48"/>
    <w:rsid w:val="00D704AC"/>
    <w:rsid w:val="00D70E14"/>
    <w:rsid w:val="00D72011"/>
    <w:rsid w:val="00D73DC0"/>
    <w:rsid w:val="00D80A6D"/>
    <w:rsid w:val="00D84898"/>
    <w:rsid w:val="00D84F15"/>
    <w:rsid w:val="00D937D2"/>
    <w:rsid w:val="00DA11EB"/>
    <w:rsid w:val="00DA527B"/>
    <w:rsid w:val="00DB4EAE"/>
    <w:rsid w:val="00DB74DC"/>
    <w:rsid w:val="00DC072F"/>
    <w:rsid w:val="00DC2BE2"/>
    <w:rsid w:val="00DD5859"/>
    <w:rsid w:val="00DD70A5"/>
    <w:rsid w:val="00DE0428"/>
    <w:rsid w:val="00DE1DE3"/>
    <w:rsid w:val="00DE65BC"/>
    <w:rsid w:val="00DE700B"/>
    <w:rsid w:val="00DE7B77"/>
    <w:rsid w:val="00DF02EC"/>
    <w:rsid w:val="00DF33A2"/>
    <w:rsid w:val="00DF3E93"/>
    <w:rsid w:val="00DF4462"/>
    <w:rsid w:val="00DF6CB7"/>
    <w:rsid w:val="00DF7711"/>
    <w:rsid w:val="00E00381"/>
    <w:rsid w:val="00E064E5"/>
    <w:rsid w:val="00E25A50"/>
    <w:rsid w:val="00E260A0"/>
    <w:rsid w:val="00E27F3D"/>
    <w:rsid w:val="00E30634"/>
    <w:rsid w:val="00E30B95"/>
    <w:rsid w:val="00E34491"/>
    <w:rsid w:val="00E35A51"/>
    <w:rsid w:val="00E477A2"/>
    <w:rsid w:val="00E523C0"/>
    <w:rsid w:val="00E537E8"/>
    <w:rsid w:val="00E6484D"/>
    <w:rsid w:val="00E72C5F"/>
    <w:rsid w:val="00E756A1"/>
    <w:rsid w:val="00E8359F"/>
    <w:rsid w:val="00E83C79"/>
    <w:rsid w:val="00E95768"/>
    <w:rsid w:val="00EA462D"/>
    <w:rsid w:val="00EA4D78"/>
    <w:rsid w:val="00EB203F"/>
    <w:rsid w:val="00EB2640"/>
    <w:rsid w:val="00EB276A"/>
    <w:rsid w:val="00EC5C08"/>
    <w:rsid w:val="00ED5C11"/>
    <w:rsid w:val="00EE31BC"/>
    <w:rsid w:val="00EE7755"/>
    <w:rsid w:val="00EF75CC"/>
    <w:rsid w:val="00F01225"/>
    <w:rsid w:val="00F02EDB"/>
    <w:rsid w:val="00F06EF2"/>
    <w:rsid w:val="00F23D23"/>
    <w:rsid w:val="00F31BB3"/>
    <w:rsid w:val="00F35A5B"/>
    <w:rsid w:val="00F404DE"/>
    <w:rsid w:val="00F43730"/>
    <w:rsid w:val="00F51B06"/>
    <w:rsid w:val="00F63EBD"/>
    <w:rsid w:val="00F81376"/>
    <w:rsid w:val="00F90461"/>
    <w:rsid w:val="00F935AB"/>
    <w:rsid w:val="00FA238E"/>
    <w:rsid w:val="00FA24FC"/>
    <w:rsid w:val="00FA35D8"/>
    <w:rsid w:val="00FB4C5F"/>
    <w:rsid w:val="00FB6677"/>
    <w:rsid w:val="00FB6EDE"/>
    <w:rsid w:val="00FB6F4B"/>
    <w:rsid w:val="00FB73F9"/>
    <w:rsid w:val="00FC48B6"/>
    <w:rsid w:val="00FC585C"/>
    <w:rsid w:val="00FD59BA"/>
    <w:rsid w:val="00FD6CC4"/>
    <w:rsid w:val="00FD7D45"/>
    <w:rsid w:val="00FE0B0C"/>
    <w:rsid w:val="053EEB81"/>
    <w:rsid w:val="1D804E47"/>
    <w:rsid w:val="2BD50CF8"/>
    <w:rsid w:val="36416A9E"/>
    <w:rsid w:val="3B9CFD2A"/>
    <w:rsid w:val="411AA9C5"/>
    <w:rsid w:val="4131FF88"/>
    <w:rsid w:val="4E63ECE4"/>
    <w:rsid w:val="564A0D4E"/>
    <w:rsid w:val="78093133"/>
    <w:rsid w:val="7B0FE4E3"/>
    <w:rsid w:val="7F797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FA2C5"/>
  <w15:chartTrackingRefBased/>
  <w15:docId w15:val="{F6684B6E-7849-4A00-8364-BB7A62E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859"/>
    <w:pPr>
      <w:keepNext/>
      <w:keepLines/>
      <w:spacing w:after="0"/>
      <w:outlineLvl w:val="0"/>
    </w:pPr>
    <w:rPr>
      <w:rFonts w:ascii="Arial" w:eastAsiaTheme="majorEastAsia" w:hAnsi="Arial" w:cs="Arial"/>
      <w:b/>
      <w:bCs/>
      <w:color w:val="1BAF90"/>
      <w:sz w:val="28"/>
      <w:szCs w:val="28"/>
    </w:rPr>
  </w:style>
  <w:style w:type="paragraph" w:styleId="Heading2">
    <w:name w:val="heading 2"/>
    <w:basedOn w:val="Normal"/>
    <w:next w:val="Normal"/>
    <w:link w:val="Heading2Char"/>
    <w:uiPriority w:val="9"/>
    <w:unhideWhenUsed/>
    <w:qFormat/>
    <w:rsid w:val="00793859"/>
    <w:pPr>
      <w:keepNext/>
      <w:keepLines/>
      <w:spacing w:after="0"/>
      <w:outlineLvl w:val="1"/>
    </w:pPr>
    <w:rPr>
      <w:rFonts w:ascii="Arial" w:eastAsiaTheme="majorEastAsia" w:hAnsi="Arial" w:cs="Arial"/>
      <w:b/>
      <w:bCs/>
      <w:color w:val="1BAF90"/>
    </w:rPr>
  </w:style>
  <w:style w:type="paragraph" w:styleId="Heading3">
    <w:name w:val="heading 3"/>
    <w:basedOn w:val="Normal"/>
    <w:next w:val="Normal"/>
    <w:link w:val="Heading3Char"/>
    <w:uiPriority w:val="9"/>
    <w:semiHidden/>
    <w:unhideWhenUsed/>
    <w:qFormat/>
    <w:rsid w:val="00A540A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540A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40A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4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859"/>
    <w:rPr>
      <w:rFonts w:ascii="Arial" w:eastAsiaTheme="majorEastAsia" w:hAnsi="Arial" w:cs="Arial"/>
      <w:b/>
      <w:bCs/>
      <w:color w:val="1BAF90"/>
      <w:sz w:val="28"/>
      <w:szCs w:val="28"/>
    </w:rPr>
  </w:style>
  <w:style w:type="character" w:customStyle="1" w:styleId="Heading2Char">
    <w:name w:val="Heading 2 Char"/>
    <w:basedOn w:val="DefaultParagraphFont"/>
    <w:link w:val="Heading2"/>
    <w:uiPriority w:val="9"/>
    <w:rsid w:val="00793859"/>
    <w:rPr>
      <w:rFonts w:ascii="Arial" w:eastAsiaTheme="majorEastAsia" w:hAnsi="Arial" w:cs="Arial"/>
      <w:b/>
      <w:bCs/>
      <w:color w:val="1BAF90"/>
    </w:rPr>
  </w:style>
  <w:style w:type="character" w:customStyle="1" w:styleId="Heading3Char">
    <w:name w:val="Heading 3 Char"/>
    <w:basedOn w:val="DefaultParagraphFont"/>
    <w:link w:val="Heading3"/>
    <w:uiPriority w:val="9"/>
    <w:semiHidden/>
    <w:rsid w:val="00A540A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540A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540A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54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0AA"/>
    <w:rPr>
      <w:rFonts w:eastAsiaTheme="majorEastAsia" w:cstheme="majorBidi"/>
      <w:color w:val="272727" w:themeColor="text1" w:themeTint="D8"/>
    </w:rPr>
  </w:style>
  <w:style w:type="paragraph" w:styleId="Title">
    <w:name w:val="Title"/>
    <w:basedOn w:val="Normal"/>
    <w:next w:val="Normal"/>
    <w:link w:val="TitleChar"/>
    <w:uiPriority w:val="10"/>
    <w:qFormat/>
    <w:rsid w:val="00A54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0AA"/>
    <w:pPr>
      <w:spacing w:before="160"/>
      <w:jc w:val="center"/>
    </w:pPr>
    <w:rPr>
      <w:i/>
      <w:iCs/>
      <w:color w:val="404040" w:themeColor="text1" w:themeTint="BF"/>
    </w:rPr>
  </w:style>
  <w:style w:type="character" w:customStyle="1" w:styleId="QuoteChar">
    <w:name w:val="Quote Char"/>
    <w:basedOn w:val="DefaultParagraphFont"/>
    <w:link w:val="Quote"/>
    <w:uiPriority w:val="29"/>
    <w:rsid w:val="00A540AA"/>
    <w:rPr>
      <w:i/>
      <w:iCs/>
      <w:color w:val="404040" w:themeColor="text1" w:themeTint="BF"/>
    </w:rPr>
  </w:style>
  <w:style w:type="paragraph" w:styleId="ListParagraph">
    <w:name w:val="List Paragraph"/>
    <w:basedOn w:val="Normal"/>
    <w:uiPriority w:val="34"/>
    <w:qFormat/>
    <w:rsid w:val="00A540AA"/>
    <w:pPr>
      <w:ind w:left="720"/>
      <w:contextualSpacing/>
    </w:pPr>
  </w:style>
  <w:style w:type="character" w:styleId="IntenseEmphasis">
    <w:name w:val="Intense Emphasis"/>
    <w:basedOn w:val="DefaultParagraphFont"/>
    <w:uiPriority w:val="21"/>
    <w:qFormat/>
    <w:rsid w:val="00A540AA"/>
    <w:rPr>
      <w:i/>
      <w:iCs/>
      <w:color w:val="2E74B5" w:themeColor="accent1" w:themeShade="BF"/>
    </w:rPr>
  </w:style>
  <w:style w:type="paragraph" w:styleId="IntenseQuote">
    <w:name w:val="Intense Quote"/>
    <w:basedOn w:val="Normal"/>
    <w:next w:val="Normal"/>
    <w:link w:val="IntenseQuoteChar"/>
    <w:uiPriority w:val="30"/>
    <w:qFormat/>
    <w:rsid w:val="00A540A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40AA"/>
    <w:rPr>
      <w:i/>
      <w:iCs/>
      <w:color w:val="2E74B5" w:themeColor="accent1" w:themeShade="BF"/>
    </w:rPr>
  </w:style>
  <w:style w:type="character" w:styleId="IntenseReference">
    <w:name w:val="Intense Reference"/>
    <w:basedOn w:val="DefaultParagraphFont"/>
    <w:uiPriority w:val="32"/>
    <w:qFormat/>
    <w:rsid w:val="00A540AA"/>
    <w:rPr>
      <w:b/>
      <w:bCs/>
      <w:smallCaps/>
      <w:color w:val="2E74B5" w:themeColor="accent1" w:themeShade="BF"/>
      <w:spacing w:val="5"/>
    </w:rPr>
  </w:style>
  <w:style w:type="paragraph" w:styleId="Header">
    <w:name w:val="header"/>
    <w:basedOn w:val="Normal"/>
    <w:link w:val="HeaderChar"/>
    <w:uiPriority w:val="99"/>
    <w:unhideWhenUsed/>
    <w:rsid w:val="006C2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7B4"/>
  </w:style>
  <w:style w:type="paragraph" w:styleId="Footer">
    <w:name w:val="footer"/>
    <w:basedOn w:val="Normal"/>
    <w:link w:val="FooterChar"/>
    <w:uiPriority w:val="99"/>
    <w:unhideWhenUsed/>
    <w:rsid w:val="006C2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7B4"/>
  </w:style>
  <w:style w:type="character" w:styleId="Hyperlink">
    <w:name w:val="Hyperlink"/>
    <w:basedOn w:val="DefaultParagraphFont"/>
    <w:uiPriority w:val="99"/>
    <w:unhideWhenUsed/>
    <w:rsid w:val="00DD70A5"/>
    <w:rPr>
      <w:color w:val="0000FF"/>
      <w:u w:val="single"/>
    </w:rPr>
  </w:style>
  <w:style w:type="table" w:styleId="TableGrid">
    <w:name w:val="Table Grid"/>
    <w:basedOn w:val="TableNormal"/>
    <w:uiPriority w:val="39"/>
    <w:rsid w:val="00194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D937D2"/>
    <w:pPr>
      <w:spacing w:before="240"/>
      <w:outlineLvl w:val="9"/>
    </w:pPr>
    <w:rPr>
      <w:rFonts w:asciiTheme="majorHAnsi" w:hAnsiTheme="majorHAnsi" w:cstheme="majorBidi"/>
      <w:b w:val="0"/>
      <w:bCs w:val="0"/>
      <w:color w:val="2E74B5" w:themeColor="accent1" w:themeShade="BF"/>
      <w:kern w:val="0"/>
      <w:sz w:val="32"/>
      <w:szCs w:val="32"/>
      <w:lang w:val="en-US"/>
      <w14:ligatures w14:val="none"/>
    </w:rPr>
  </w:style>
  <w:style w:type="paragraph" w:styleId="TOC1">
    <w:name w:val="toc 1"/>
    <w:basedOn w:val="Normal"/>
    <w:next w:val="Normal"/>
    <w:autoRedefine/>
    <w:uiPriority w:val="39"/>
    <w:unhideWhenUsed/>
    <w:rsid w:val="00D937D2"/>
    <w:pPr>
      <w:tabs>
        <w:tab w:val="left" w:pos="454"/>
        <w:tab w:val="right" w:leader="dot" w:pos="9016"/>
      </w:tabs>
      <w:spacing w:after="100"/>
    </w:pPr>
    <w:rPr>
      <w:rFonts w:ascii="Arial" w:hAnsi="Arial"/>
      <w:color w:val="1BAF90"/>
      <w:kern w:val="0"/>
      <w14:ligatures w14:val="none"/>
    </w:rPr>
  </w:style>
  <w:style w:type="paragraph" w:styleId="TOC2">
    <w:name w:val="toc 2"/>
    <w:basedOn w:val="Normal"/>
    <w:next w:val="Normal"/>
    <w:autoRedefine/>
    <w:uiPriority w:val="39"/>
    <w:unhideWhenUsed/>
    <w:rsid w:val="00D937D2"/>
    <w:pPr>
      <w:spacing w:after="100"/>
      <w:ind w:left="454"/>
    </w:pPr>
    <w:rPr>
      <w:rFonts w:ascii="Arial" w:hAnsi="Arial"/>
      <w:color w:val="1BAF90"/>
      <w:kern w:val="0"/>
      <w14:ligatures w14:val="none"/>
    </w:rPr>
  </w:style>
  <w:style w:type="paragraph" w:customStyle="1" w:styleId="Header1">
    <w:name w:val="Header 1"/>
    <w:basedOn w:val="Normal"/>
    <w:link w:val="Header1Char"/>
    <w:rsid w:val="00601589"/>
    <w:pPr>
      <w:spacing w:after="0"/>
    </w:pPr>
    <w:rPr>
      <w:rFonts w:ascii="Arial" w:hAnsi="Arial" w:cs="Arial"/>
      <w:b/>
      <w:bCs/>
      <w:color w:val="1BAF90"/>
      <w:sz w:val="28"/>
      <w:szCs w:val="28"/>
    </w:rPr>
  </w:style>
  <w:style w:type="character" w:customStyle="1" w:styleId="Header1Char">
    <w:name w:val="Header 1 Char"/>
    <w:basedOn w:val="DefaultParagraphFont"/>
    <w:link w:val="Header1"/>
    <w:rsid w:val="00601589"/>
    <w:rPr>
      <w:rFonts w:ascii="Arial" w:hAnsi="Arial" w:cs="Arial"/>
      <w:b/>
      <w:bCs/>
      <w:color w:val="1BAF9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onwy.gov.uk/en/Resident/HousingServices/Policies-plans-strategies/Local-Housing-Market-Assess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1445</Words>
  <Characters>8633</Characters>
  <Application>Microsoft Office Word</Application>
  <DocSecurity>0</DocSecurity>
  <Lines>316</Lines>
  <Paragraphs>135</Paragraphs>
  <ScaleCrop>false</ScaleCrop>
  <HeadingPairs>
    <vt:vector size="2" baseType="variant">
      <vt:variant>
        <vt:lpstr>Title</vt:lpstr>
      </vt:variant>
      <vt:variant>
        <vt:i4>1</vt:i4>
      </vt:variant>
    </vt:vector>
  </HeadingPairs>
  <TitlesOfParts>
    <vt:vector size="1" baseType="lpstr">
      <vt:lpstr/>
    </vt:vector>
  </TitlesOfParts>
  <Company>Conwy County Borough Council</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Sector Housing Work Plan</dc:title>
  <dc:subject>@Title</dc:subject>
  <dc:creator>Jodie Davies</dc:creator>
  <cp:keywords>
  </cp:keywords>
  <dc:description>
  </dc:description>
  <cp:lastModifiedBy>Elaine Doga</cp:lastModifiedBy>
  <cp:revision>210</cp:revision>
  <cp:lastPrinted>2025-10-22T19:51:00Z</cp:lastPrinted>
  <dcterms:created xsi:type="dcterms:W3CDTF">2025-10-31T10:44:00Z</dcterms:created>
  <dcterms:modified xsi:type="dcterms:W3CDTF">2026-01-28T11:01:31Z</dcterms:modified>
</cp:coreProperties>
</file>